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508"/>
        <w:gridCol w:w="5508"/>
      </w:tblGrid>
      <w:tr w:rsidR="00090584" w:rsidRPr="002648F3" w14:paraId="5076C910" w14:textId="77777777" w:rsidTr="005C17B9">
        <w:trPr>
          <w:trHeight w:val="1890"/>
        </w:trPr>
        <w:tc>
          <w:tcPr>
            <w:tcW w:w="5508" w:type="dxa"/>
            <w:shd w:val="clear" w:color="auto" w:fill="auto"/>
          </w:tcPr>
          <w:p w14:paraId="46E7A51C" w14:textId="77777777" w:rsidR="00090584" w:rsidRPr="002648F3" w:rsidRDefault="00090584" w:rsidP="005C17B9">
            <w:r>
              <w:rPr>
                <w:noProof/>
              </w:rPr>
              <w:drawing>
                <wp:inline distT="0" distB="0" distL="0" distR="0" wp14:anchorId="0CE8A75B" wp14:editId="54690BB9">
                  <wp:extent cx="2714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14625" cy="1171575"/>
                          </a:xfrm>
                          <a:prstGeom prst="rect">
                            <a:avLst/>
                          </a:prstGeom>
                          <a:noFill/>
                          <a:ln>
                            <a:noFill/>
                          </a:ln>
                        </pic:spPr>
                      </pic:pic>
                    </a:graphicData>
                  </a:graphic>
                </wp:inline>
              </w:drawing>
            </w:r>
          </w:p>
        </w:tc>
        <w:tc>
          <w:tcPr>
            <w:tcW w:w="5508" w:type="dxa"/>
            <w:shd w:val="clear" w:color="auto" w:fill="auto"/>
          </w:tcPr>
          <w:p w14:paraId="3FB5F60B" w14:textId="1FD8DAB2" w:rsidR="00090584" w:rsidRDefault="00090584" w:rsidP="005C17B9">
            <w:pPr>
              <w:jc w:val="center"/>
              <w:rPr>
                <w:b/>
              </w:rPr>
            </w:pPr>
          </w:p>
          <w:p w14:paraId="5D4AABC4" w14:textId="14AC5486" w:rsidR="00090584" w:rsidRDefault="00090584" w:rsidP="005C17B9">
            <w:pPr>
              <w:jc w:val="center"/>
              <w:rPr>
                <w:b/>
              </w:rPr>
            </w:pPr>
          </w:p>
          <w:p w14:paraId="323355BF" w14:textId="77777777" w:rsidR="00090584" w:rsidRPr="002648F3" w:rsidRDefault="00090584" w:rsidP="005C17B9">
            <w:pPr>
              <w:jc w:val="center"/>
              <w:rPr>
                <w:b/>
              </w:rPr>
            </w:pPr>
          </w:p>
          <w:p w14:paraId="12E188DF" w14:textId="77777777" w:rsidR="00090584" w:rsidRPr="00090584" w:rsidRDefault="00090584" w:rsidP="00090584">
            <w:pPr>
              <w:jc w:val="center"/>
              <w:rPr>
                <w:b/>
                <w:bCs/>
                <w:sz w:val="24"/>
                <w:szCs w:val="24"/>
              </w:rPr>
            </w:pPr>
            <w:r w:rsidRPr="00090584">
              <w:rPr>
                <w:b/>
                <w:bCs/>
                <w:sz w:val="24"/>
                <w:szCs w:val="24"/>
              </w:rPr>
              <w:t>NOTICE OF AVAILABILITY AND OFFER</w:t>
            </w:r>
          </w:p>
          <w:p w14:paraId="5E25D5E7" w14:textId="714C86B6" w:rsidR="00090584" w:rsidRPr="00090584" w:rsidRDefault="00090584" w:rsidP="00090584">
            <w:pPr>
              <w:pStyle w:val="Default"/>
              <w:jc w:val="center"/>
              <w:rPr>
                <w:b/>
              </w:rPr>
            </w:pPr>
            <w:r w:rsidRPr="00090584">
              <w:rPr>
                <w:b/>
                <w:bCs/>
              </w:rPr>
              <w:t>OF CLOSING PROTECTION COVERAGE</w:t>
            </w:r>
          </w:p>
          <w:p w14:paraId="6C8BF65A" w14:textId="77777777" w:rsidR="00090584" w:rsidRPr="002648F3" w:rsidRDefault="00090584" w:rsidP="005C17B9">
            <w:pPr>
              <w:jc w:val="center"/>
              <w:rPr>
                <w:b/>
              </w:rPr>
            </w:pPr>
          </w:p>
        </w:tc>
      </w:tr>
    </w:tbl>
    <w:p w14:paraId="780C5A14" w14:textId="77777777" w:rsidR="00090584" w:rsidRPr="00574463" w:rsidRDefault="00090584" w:rsidP="00090584">
      <w:pPr>
        <w:jc w:val="both"/>
      </w:pPr>
    </w:p>
    <w:p w14:paraId="709D58DA" w14:textId="5F668F8A" w:rsidR="00354D39" w:rsidRDefault="00354D39" w:rsidP="00354D39"/>
    <w:p w14:paraId="663F5C56" w14:textId="0B67F985" w:rsidR="00354D39" w:rsidRPr="00354D39" w:rsidRDefault="00354D39" w:rsidP="00354D39">
      <w:pPr>
        <w:tabs>
          <w:tab w:val="left" w:pos="360"/>
          <w:tab w:val="left" w:pos="1440"/>
          <w:tab w:val="right" w:pos="11520"/>
        </w:tabs>
        <w:rPr>
          <w:u w:val="single"/>
        </w:rPr>
      </w:pPr>
      <w:r>
        <w:rPr>
          <w:rFonts w:ascii="Wingdings" w:hAnsi="Wingdings"/>
          <w:sz w:val="24"/>
          <w:szCs w:val="24"/>
        </w:rPr>
        <w:sym w:font="Wingdings" w:char="F0A8"/>
      </w:r>
      <w:r>
        <w:tab/>
        <w:t>Seller:</w:t>
      </w:r>
      <w:r>
        <w:tab/>
      </w:r>
      <w:r>
        <w:rPr>
          <w:u w:val="single"/>
        </w:rPr>
        <w:tab/>
      </w:r>
    </w:p>
    <w:p w14:paraId="756797DF" w14:textId="77777777" w:rsidR="00354D39" w:rsidRDefault="00354D39" w:rsidP="00354D39">
      <w:pPr>
        <w:tabs>
          <w:tab w:val="left" w:pos="360"/>
          <w:tab w:val="left" w:pos="1080"/>
        </w:tabs>
      </w:pPr>
    </w:p>
    <w:p w14:paraId="19511C1D" w14:textId="4B2CC963" w:rsidR="00354D39" w:rsidRPr="00354D39" w:rsidRDefault="00354D39" w:rsidP="00354D39">
      <w:pPr>
        <w:tabs>
          <w:tab w:val="left" w:pos="360"/>
          <w:tab w:val="left" w:pos="1440"/>
          <w:tab w:val="right" w:pos="11520"/>
        </w:tabs>
        <w:rPr>
          <w:u w:val="single"/>
        </w:rPr>
      </w:pPr>
      <w:r>
        <w:rPr>
          <w:rFonts w:ascii="Wingdings" w:hAnsi="Wingdings"/>
          <w:sz w:val="24"/>
          <w:szCs w:val="24"/>
        </w:rPr>
        <w:sym w:font="Wingdings" w:char="F0A8"/>
      </w:r>
      <w:r>
        <w:tab/>
        <w:t>Buyer:</w:t>
      </w:r>
      <w:r>
        <w:tab/>
      </w:r>
      <w:r>
        <w:rPr>
          <w:u w:val="single"/>
        </w:rPr>
        <w:tab/>
      </w:r>
    </w:p>
    <w:p w14:paraId="2F6B2BE6" w14:textId="77777777" w:rsidR="00354D39" w:rsidRDefault="00354D39" w:rsidP="00354D39">
      <w:pPr>
        <w:tabs>
          <w:tab w:val="left" w:pos="360"/>
          <w:tab w:val="left" w:pos="1080"/>
        </w:tabs>
      </w:pPr>
    </w:p>
    <w:p w14:paraId="1DD7A2F9" w14:textId="1036A512" w:rsidR="00354D39" w:rsidRPr="00354D39" w:rsidRDefault="00354D39" w:rsidP="00354D39">
      <w:pPr>
        <w:tabs>
          <w:tab w:val="left" w:pos="360"/>
          <w:tab w:val="left" w:pos="1440"/>
          <w:tab w:val="right" w:pos="11520"/>
        </w:tabs>
        <w:rPr>
          <w:u w:val="single"/>
        </w:rPr>
      </w:pPr>
      <w:r>
        <w:rPr>
          <w:rFonts w:ascii="Wingdings" w:hAnsi="Wingdings"/>
          <w:sz w:val="24"/>
          <w:szCs w:val="24"/>
        </w:rPr>
        <w:sym w:font="Wingdings" w:char="F0A8"/>
      </w:r>
      <w:r>
        <w:tab/>
        <w:t>Borrower:</w:t>
      </w:r>
      <w:r>
        <w:tab/>
      </w:r>
      <w:r>
        <w:rPr>
          <w:u w:val="single"/>
        </w:rPr>
        <w:tab/>
      </w:r>
    </w:p>
    <w:p w14:paraId="708F405A" w14:textId="77777777" w:rsidR="00354D39" w:rsidRDefault="00354D39" w:rsidP="00354D39">
      <w:pPr>
        <w:tabs>
          <w:tab w:val="left" w:pos="360"/>
          <w:tab w:val="left" w:pos="1080"/>
        </w:tabs>
      </w:pPr>
    </w:p>
    <w:p w14:paraId="688AA1EC" w14:textId="1B676FAB" w:rsidR="00354D39" w:rsidRPr="00354D39" w:rsidRDefault="00354D39" w:rsidP="00354D39">
      <w:pPr>
        <w:tabs>
          <w:tab w:val="left" w:pos="360"/>
          <w:tab w:val="left" w:pos="1440"/>
          <w:tab w:val="right" w:pos="11520"/>
        </w:tabs>
        <w:rPr>
          <w:u w:val="single"/>
        </w:rPr>
      </w:pPr>
      <w:r>
        <w:rPr>
          <w:rFonts w:ascii="Wingdings" w:hAnsi="Wingdings"/>
          <w:sz w:val="24"/>
          <w:szCs w:val="24"/>
        </w:rPr>
        <w:sym w:font="Wingdings" w:char="F0A8"/>
      </w:r>
      <w:r>
        <w:tab/>
        <w:t>Lender:</w:t>
      </w:r>
      <w:r>
        <w:tab/>
      </w:r>
      <w:r>
        <w:rPr>
          <w:u w:val="single"/>
        </w:rPr>
        <w:tab/>
      </w:r>
    </w:p>
    <w:p w14:paraId="367F7846" w14:textId="5335E920" w:rsidR="00354D39" w:rsidRDefault="00354D39" w:rsidP="00354D39">
      <w:pPr>
        <w:tabs>
          <w:tab w:val="left" w:pos="360"/>
          <w:tab w:val="left" w:pos="1080"/>
        </w:tabs>
      </w:pPr>
    </w:p>
    <w:p w14:paraId="563D4658" w14:textId="07C07005" w:rsidR="00354D39" w:rsidRDefault="00354D39" w:rsidP="00354D39">
      <w:pPr>
        <w:tabs>
          <w:tab w:val="left" w:pos="360"/>
          <w:tab w:val="left" w:pos="1080"/>
        </w:tabs>
      </w:pPr>
    </w:p>
    <w:p w14:paraId="3B097AE9" w14:textId="4401EAAD" w:rsidR="00354D39" w:rsidRPr="00354D39" w:rsidRDefault="00354D39" w:rsidP="00354D39">
      <w:pPr>
        <w:tabs>
          <w:tab w:val="left" w:pos="810"/>
        </w:tabs>
        <w:ind w:left="360"/>
      </w:pPr>
      <w:r w:rsidRPr="00354D39">
        <w:t>Re:</w:t>
      </w:r>
      <w:r>
        <w:tab/>
      </w:r>
      <w:r w:rsidRPr="00354D39">
        <w:t>Licensed Agent :</w:t>
      </w:r>
    </w:p>
    <w:p w14:paraId="75BD088B" w14:textId="5B0AE09A" w:rsidR="00354D39" w:rsidRPr="00354D39" w:rsidRDefault="00354D39" w:rsidP="00354D39">
      <w:pPr>
        <w:ind w:left="810"/>
      </w:pPr>
      <w:r w:rsidRPr="00354D39">
        <w:t>Premises:</w:t>
      </w:r>
    </w:p>
    <w:p w14:paraId="6FFDBCC5" w14:textId="640907F3" w:rsidR="00354D39" w:rsidRPr="00354D39" w:rsidRDefault="00354D39" w:rsidP="00354D39">
      <w:pPr>
        <w:ind w:left="810"/>
      </w:pPr>
      <w:r w:rsidRPr="00354D39">
        <w:t>Commitment/File No.:</w:t>
      </w:r>
    </w:p>
    <w:p w14:paraId="743FD091" w14:textId="77777777" w:rsidR="00354D39" w:rsidRPr="00354D39" w:rsidRDefault="00354D39" w:rsidP="00354D39"/>
    <w:p w14:paraId="4F314662" w14:textId="77777777" w:rsidR="00354D39" w:rsidRPr="00354D39" w:rsidRDefault="00354D39" w:rsidP="00354D39">
      <w:pPr>
        <w:jc w:val="center"/>
        <w:rPr>
          <w:b/>
        </w:rPr>
      </w:pPr>
      <w:r w:rsidRPr="00354D39">
        <w:rPr>
          <w:b/>
        </w:rPr>
        <w:t>Notice of Availability of Closing Protection Coverage</w:t>
      </w:r>
    </w:p>
    <w:p w14:paraId="3065F33F" w14:textId="77777777" w:rsidR="00354D39" w:rsidRPr="00354D39" w:rsidRDefault="00354D39" w:rsidP="00354D39"/>
    <w:p w14:paraId="523182F7" w14:textId="4FAF1A0D" w:rsidR="00354D39" w:rsidRPr="00354D39" w:rsidRDefault="00354D39" w:rsidP="00354D39">
      <w:pPr>
        <w:jc w:val="both"/>
      </w:pPr>
      <w:r w:rsidRPr="00354D39">
        <w:t xml:space="preserve">Pursuant to Ohio Revised Code Section 3953.32, you are hereby notified of the availability of Closing Protection Coverage from </w:t>
      </w:r>
      <w:r w:rsidR="0092128D">
        <w:t>First National Title Insurance Company, a Texas corporation,</w:t>
      </w:r>
      <w:r w:rsidRPr="00354D39">
        <w:t xml:space="preserve"> in connection with the above-referenced transaction for the premium stated in the Offer of Closing Protection Coverage outlined below.</w:t>
      </w:r>
    </w:p>
    <w:p w14:paraId="507A17B8" w14:textId="77777777" w:rsidR="00354D39" w:rsidRPr="00354D39" w:rsidRDefault="00354D39" w:rsidP="00354D39"/>
    <w:p w14:paraId="76ECCD73" w14:textId="7CC3327B" w:rsidR="00354D39" w:rsidRPr="00354D39" w:rsidRDefault="00354D39" w:rsidP="00354D39">
      <w:pPr>
        <w:jc w:val="both"/>
      </w:pPr>
      <w:r w:rsidRPr="00354D39">
        <w:t xml:space="preserve">Closing or settlement of a real estate and/or mortgage loan transaction can be characterized as having two components.  One component pertains to the title to the Premises and the title insurance policy therefore.  The other component pertains to the handling of funds and documents.  A title insurance policy </w:t>
      </w:r>
      <w:r w:rsidRPr="00354D39">
        <w:rPr>
          <w:b/>
        </w:rPr>
        <w:t xml:space="preserve">does not </w:t>
      </w:r>
      <w:r w:rsidRPr="00354D39">
        <w:t xml:space="preserve">cover losses due to the mishandling of funds or documents.  However, Closing Protection Coverage, as outlined below, </w:t>
      </w:r>
      <w:r w:rsidRPr="00354D39">
        <w:rPr>
          <w:b/>
        </w:rPr>
        <w:t>does</w:t>
      </w:r>
      <w:r w:rsidRPr="00354D39">
        <w:t xml:space="preserve"> provide such protection. </w:t>
      </w:r>
    </w:p>
    <w:p w14:paraId="7592AC49" w14:textId="77777777" w:rsidR="00354D39" w:rsidRPr="00354D39" w:rsidRDefault="00354D39" w:rsidP="00354D39"/>
    <w:p w14:paraId="16E861EF" w14:textId="6BA116B9" w:rsidR="00354D39" w:rsidRPr="00354D39" w:rsidRDefault="00354D39" w:rsidP="00354D39">
      <w:pPr>
        <w:jc w:val="both"/>
      </w:pPr>
      <w:r w:rsidRPr="00354D39">
        <w:rPr>
          <w:u w:val="single"/>
        </w:rPr>
        <w:t>Description of Coverage:</w:t>
      </w:r>
      <w:r>
        <w:t xml:space="preserve">  </w:t>
      </w:r>
      <w:r w:rsidRPr="00354D39">
        <w:t>The Closing Protection Coverage indemnifies you against the loss of settlement funds resulting from any of the following acts of the Licensed Agent or anyone acting on behalf of the Licensed Agent, subject to certain conditions and exclusions specified in the Closing Protection Coverage Form:</w:t>
      </w:r>
    </w:p>
    <w:p w14:paraId="6C01D993" w14:textId="77777777" w:rsidR="00354D39" w:rsidRPr="00354D39" w:rsidRDefault="00354D39" w:rsidP="00354D39"/>
    <w:p w14:paraId="1E04CEBF" w14:textId="26D5152A" w:rsidR="00354D39" w:rsidRDefault="00354D39" w:rsidP="00354D39">
      <w:pPr>
        <w:numPr>
          <w:ilvl w:val="0"/>
          <w:numId w:val="6"/>
        </w:numPr>
        <w:tabs>
          <w:tab w:val="clear" w:pos="1110"/>
        </w:tabs>
        <w:ind w:left="720" w:hanging="360"/>
      </w:pPr>
      <w:r w:rsidRPr="00354D39">
        <w:t xml:space="preserve">Theft, misappropriation, fraud, or any other failure to properly disburse settlement, closing or escrow funds; and </w:t>
      </w:r>
    </w:p>
    <w:p w14:paraId="5799ADD2" w14:textId="77777777" w:rsidR="00354D39" w:rsidRPr="00354D39" w:rsidRDefault="00354D39" w:rsidP="00354D39">
      <w:pPr>
        <w:ind w:left="720"/>
      </w:pPr>
    </w:p>
    <w:p w14:paraId="397C300E" w14:textId="77777777" w:rsidR="00354D39" w:rsidRPr="00354D39" w:rsidRDefault="00354D39" w:rsidP="00354D39">
      <w:pPr>
        <w:numPr>
          <w:ilvl w:val="0"/>
          <w:numId w:val="6"/>
        </w:numPr>
        <w:tabs>
          <w:tab w:val="clear" w:pos="1110"/>
        </w:tabs>
        <w:ind w:left="720" w:hanging="360"/>
      </w:pPr>
      <w:r w:rsidRPr="00354D39">
        <w:t>Failure to comply with any applicable written closing instructions, when agreed to by the Licensed Agent.</w:t>
      </w:r>
    </w:p>
    <w:p w14:paraId="6C4C6B8A" w14:textId="77777777" w:rsidR="00354D39" w:rsidRPr="00354D39" w:rsidRDefault="00354D39" w:rsidP="00354D39"/>
    <w:p w14:paraId="4196396B" w14:textId="5D5A86ED" w:rsidR="00354D39" w:rsidRPr="00354D39" w:rsidRDefault="00354D39" w:rsidP="00354D39">
      <w:pPr>
        <w:jc w:val="both"/>
      </w:pPr>
      <w:r w:rsidRPr="00354D39">
        <w:t>You are covered by a Closing Protection Coverage Form only if it is specifically addressed to you.  A copy of the Closing Protection Coverage Form is available upon request.</w:t>
      </w:r>
    </w:p>
    <w:p w14:paraId="3B259683" w14:textId="77777777" w:rsidR="00354D39" w:rsidRPr="00354D39" w:rsidRDefault="00354D39" w:rsidP="00354D39">
      <w:r w:rsidRPr="00354D39">
        <w:br w:type="page"/>
      </w:r>
    </w:p>
    <w:p w14:paraId="2C0BF4DC" w14:textId="77777777" w:rsidR="00354D39" w:rsidRPr="00354D39" w:rsidRDefault="00354D39" w:rsidP="00354D39">
      <w:pPr>
        <w:jc w:val="center"/>
        <w:rPr>
          <w:b/>
        </w:rPr>
      </w:pPr>
      <w:r w:rsidRPr="00354D39">
        <w:rPr>
          <w:b/>
        </w:rPr>
        <w:lastRenderedPageBreak/>
        <w:t>Offer of Closing Protection Coverage</w:t>
      </w:r>
    </w:p>
    <w:p w14:paraId="61BD6A85" w14:textId="77777777" w:rsidR="00354D39" w:rsidRPr="00354D39" w:rsidRDefault="00354D39" w:rsidP="00354D39">
      <w:pPr>
        <w:jc w:val="center"/>
      </w:pPr>
    </w:p>
    <w:p w14:paraId="3AAC5EE9" w14:textId="44CEC801" w:rsidR="00354D39" w:rsidRPr="00354D39" w:rsidRDefault="00354D39" w:rsidP="00354D39">
      <w:pPr>
        <w:jc w:val="both"/>
      </w:pPr>
      <w:r w:rsidRPr="00354D39">
        <w:t xml:space="preserve">Pursuant to Ohio Revised Code Section 3953.32, you are hereby offered Closing Protection Coverage from </w:t>
      </w:r>
      <w:r w:rsidR="0092128D">
        <w:t>First National Title Insurance Company, a Texas corporation,</w:t>
      </w:r>
      <w:r w:rsidRPr="00354D39">
        <w:t xml:space="preserve"> in connection with the above-referenced transaction.</w:t>
      </w:r>
    </w:p>
    <w:p w14:paraId="01C1EE62" w14:textId="77777777" w:rsidR="00354D39" w:rsidRPr="00354D39" w:rsidRDefault="00354D39" w:rsidP="00354D39"/>
    <w:p w14:paraId="07E2E1FF" w14:textId="41CAFE76" w:rsidR="00354D39" w:rsidRPr="00354D39" w:rsidRDefault="00354D39" w:rsidP="00354D39">
      <w:pPr>
        <w:jc w:val="both"/>
      </w:pPr>
      <w:r w:rsidRPr="00354D39">
        <w:rPr>
          <w:u w:val="single"/>
        </w:rPr>
        <w:t>Premium for Coverage</w:t>
      </w:r>
      <w:r w:rsidRPr="00354D39">
        <w:t>:</w:t>
      </w:r>
      <w:r>
        <w:t xml:space="preserve">  </w:t>
      </w:r>
      <w:r w:rsidRPr="00354D39">
        <w:t>The premium for the Closing Protection Coverage is $40.00 for Lender; $55.00 for Seller; $20.00 for Buyer/Borrower; and $20.00 for any other applicant for title insurance, and in no case shall the premium be less than $40.00 for this coverage in any transaction.</w:t>
      </w:r>
    </w:p>
    <w:p w14:paraId="2604B68D" w14:textId="77777777" w:rsidR="00354D39" w:rsidRPr="00354D39" w:rsidRDefault="00354D39" w:rsidP="00354D39"/>
    <w:p w14:paraId="1DDC1190" w14:textId="77777777" w:rsidR="00354D39" w:rsidRPr="00354D39" w:rsidRDefault="00354D39" w:rsidP="00354D39">
      <w:pPr>
        <w:rPr>
          <w:b/>
        </w:rPr>
      </w:pPr>
      <w:r w:rsidRPr="00354D39">
        <w:rPr>
          <w:b/>
        </w:rPr>
        <w:t>Acceptance of Offer/Declination of Offer</w:t>
      </w:r>
    </w:p>
    <w:p w14:paraId="1E9A7D72" w14:textId="77777777" w:rsidR="00354D39" w:rsidRPr="00354D39" w:rsidRDefault="00354D39" w:rsidP="00354D39"/>
    <w:p w14:paraId="27CB3C1F" w14:textId="2390DAFF" w:rsidR="00354D39" w:rsidRPr="00354D39" w:rsidRDefault="00354D39" w:rsidP="00354D39">
      <w:pPr>
        <w:jc w:val="both"/>
      </w:pPr>
      <w:r w:rsidRPr="00354D39">
        <w:t xml:space="preserve">I (We), the undersigned, acknowledge receipt of this Notice of Availability of Closing Protection Coverage and Offer of Closing Protection Coverage and </w:t>
      </w:r>
    </w:p>
    <w:p w14:paraId="3ACE27D9" w14:textId="77777777" w:rsidR="00354D39" w:rsidRPr="00354D39" w:rsidRDefault="00354D39" w:rsidP="00354D39">
      <w:pPr>
        <w:jc w:val="center"/>
      </w:pPr>
    </w:p>
    <w:p w14:paraId="11DB82F8" w14:textId="1DE4E966" w:rsidR="00354D39" w:rsidRPr="00354D39" w:rsidRDefault="00354D39" w:rsidP="00354D39">
      <w:pPr>
        <w:jc w:val="center"/>
      </w:pPr>
      <w:r w:rsidRPr="00354D39">
        <w:rPr>
          <w:b/>
        </w:rPr>
        <w:t xml:space="preserve">do </w:t>
      </w:r>
      <w:r w:rsidRPr="00354D39">
        <w:t>accept the said Offer</w:t>
      </w:r>
      <w:r w:rsidR="0092128D">
        <w:t xml:space="preserve"> __________</w:t>
      </w:r>
    </w:p>
    <w:p w14:paraId="463E6141" w14:textId="77777777" w:rsidR="00354D39" w:rsidRDefault="00354D39" w:rsidP="00354D39">
      <w:pPr>
        <w:jc w:val="center"/>
        <w:rPr>
          <w:b/>
        </w:rPr>
      </w:pPr>
    </w:p>
    <w:p w14:paraId="2D3C18B2" w14:textId="5F98C208" w:rsidR="00354D39" w:rsidRPr="00354D39" w:rsidRDefault="00354D39" w:rsidP="00354D39">
      <w:pPr>
        <w:jc w:val="center"/>
      </w:pPr>
      <w:r w:rsidRPr="00354D39">
        <w:rPr>
          <w:b/>
        </w:rPr>
        <w:t xml:space="preserve">do not </w:t>
      </w:r>
      <w:r w:rsidRPr="00354D39">
        <w:t>accept the said Offer</w:t>
      </w:r>
      <w:r w:rsidR="0092128D">
        <w:t xml:space="preserve"> __________</w:t>
      </w:r>
    </w:p>
    <w:p w14:paraId="758C2BC5" w14:textId="21910E64" w:rsidR="00354D39" w:rsidRPr="00354D39" w:rsidRDefault="00354D39" w:rsidP="00354D39"/>
    <w:p w14:paraId="1D780CDE" w14:textId="54E1DBFB" w:rsidR="00354D39" w:rsidRPr="00354D39" w:rsidRDefault="00354D39" w:rsidP="00354D39">
      <w:r w:rsidRPr="00354D39">
        <w:t>If this Offer is accepted, the undersigned hereby agrees to pay the applicable premium.</w:t>
      </w:r>
    </w:p>
    <w:p w14:paraId="2192747F" w14:textId="77777777" w:rsidR="00354D39" w:rsidRPr="00354D39" w:rsidRDefault="00354D39" w:rsidP="00354D39"/>
    <w:p w14:paraId="0A8BE96F" w14:textId="77777777" w:rsidR="00354D39" w:rsidRPr="00354D39" w:rsidRDefault="00354D39" w:rsidP="00354D39"/>
    <w:p w14:paraId="3486EAC4" w14:textId="7CD599D8" w:rsidR="00354D39" w:rsidRPr="00354D39" w:rsidRDefault="00354D39" w:rsidP="0092128D">
      <w:pPr>
        <w:tabs>
          <w:tab w:val="left" w:pos="5580"/>
          <w:tab w:val="left" w:pos="5940"/>
          <w:tab w:val="right" w:pos="11520"/>
        </w:tabs>
        <w:rPr>
          <w:u w:val="single"/>
        </w:rPr>
      </w:pPr>
      <w:r w:rsidRPr="00354D39">
        <w:t xml:space="preserve">Signed: </w:t>
      </w:r>
      <w:r>
        <w:t xml:space="preserve"> </w:t>
      </w:r>
      <w:r>
        <w:rPr>
          <w:u w:val="single"/>
        </w:rPr>
        <w:tab/>
      </w:r>
      <w:r w:rsidRPr="00354D39">
        <w:tab/>
        <w:t>Signed:</w:t>
      </w:r>
      <w:r>
        <w:t xml:space="preserve">  </w:t>
      </w:r>
      <w:r w:rsidR="00CD01B0">
        <w:rPr>
          <w:u w:val="single"/>
        </w:rPr>
        <w:tab/>
      </w:r>
    </w:p>
    <w:p w14:paraId="2B792067" w14:textId="77777777" w:rsidR="00CD01B0" w:rsidRDefault="00CD01B0" w:rsidP="00CD01B0">
      <w:pPr>
        <w:tabs>
          <w:tab w:val="left" w:pos="3780"/>
          <w:tab w:val="left" w:pos="4860"/>
          <w:tab w:val="left" w:pos="5220"/>
          <w:tab w:val="left" w:pos="9000"/>
          <w:tab w:val="right" w:pos="11520"/>
        </w:tabs>
      </w:pPr>
    </w:p>
    <w:p w14:paraId="36E937D2" w14:textId="0721D914" w:rsidR="00354D39" w:rsidRPr="00354D39" w:rsidRDefault="00354D39" w:rsidP="0092128D">
      <w:pPr>
        <w:tabs>
          <w:tab w:val="left" w:pos="5580"/>
          <w:tab w:val="left" w:pos="5940"/>
          <w:tab w:val="right" w:pos="11520"/>
        </w:tabs>
        <w:rPr>
          <w:u w:val="single"/>
        </w:rPr>
      </w:pPr>
      <w:r w:rsidRPr="00354D39">
        <w:t>Printed Name:</w:t>
      </w:r>
      <w:r w:rsidR="00CD01B0">
        <w:t xml:space="preserve">  </w:t>
      </w:r>
      <w:r w:rsidR="00CD01B0">
        <w:rPr>
          <w:u w:val="single"/>
        </w:rPr>
        <w:tab/>
      </w:r>
      <w:r w:rsidRPr="00354D39">
        <w:tab/>
        <w:t>Printed Name:</w:t>
      </w:r>
      <w:r w:rsidR="00CD01B0">
        <w:t xml:space="preserve">  </w:t>
      </w:r>
      <w:r w:rsidR="00CD01B0">
        <w:rPr>
          <w:u w:val="single"/>
        </w:rPr>
        <w:tab/>
      </w:r>
    </w:p>
    <w:p w14:paraId="11C00AC3" w14:textId="77777777" w:rsidR="00CD01B0" w:rsidRDefault="00CD01B0" w:rsidP="00CD01B0">
      <w:pPr>
        <w:tabs>
          <w:tab w:val="left" w:pos="3780"/>
          <w:tab w:val="left" w:pos="4860"/>
          <w:tab w:val="left" w:pos="5220"/>
          <w:tab w:val="left" w:pos="9000"/>
          <w:tab w:val="right" w:pos="11520"/>
        </w:tabs>
      </w:pPr>
    </w:p>
    <w:p w14:paraId="2C0F4C3B" w14:textId="68B781D4" w:rsidR="00354D39" w:rsidRPr="00354D39" w:rsidRDefault="00354D39" w:rsidP="0092128D">
      <w:pPr>
        <w:tabs>
          <w:tab w:val="left" w:pos="5580"/>
          <w:tab w:val="left" w:pos="5940"/>
          <w:tab w:val="right" w:pos="11520"/>
        </w:tabs>
        <w:rPr>
          <w:u w:val="single"/>
        </w:rPr>
      </w:pPr>
      <w:r w:rsidRPr="00354D39">
        <w:t>Dated:</w:t>
      </w:r>
      <w:r w:rsidR="00CD01B0">
        <w:t xml:space="preserve"> </w:t>
      </w:r>
      <w:r w:rsidRPr="00354D39">
        <w:t xml:space="preserve"> </w:t>
      </w:r>
      <w:r w:rsidR="00CD01B0">
        <w:rPr>
          <w:u w:val="single"/>
        </w:rPr>
        <w:tab/>
      </w:r>
      <w:r w:rsidRPr="00354D39">
        <w:tab/>
        <w:t xml:space="preserve">Dated: </w:t>
      </w:r>
      <w:r w:rsidR="00CD01B0">
        <w:t xml:space="preserve"> </w:t>
      </w:r>
      <w:r w:rsidR="00CD01B0">
        <w:rPr>
          <w:u w:val="single"/>
        </w:rPr>
        <w:tab/>
      </w:r>
    </w:p>
    <w:p w14:paraId="61EC3E36" w14:textId="3B62D805" w:rsidR="00354D39" w:rsidRDefault="00354D39" w:rsidP="00354D39"/>
    <w:p w14:paraId="5A0600CC" w14:textId="77777777" w:rsidR="0092128D" w:rsidRPr="00354D39" w:rsidRDefault="0092128D" w:rsidP="00354D39"/>
    <w:p w14:paraId="3F1B8219" w14:textId="77777777" w:rsidR="00354D39" w:rsidRPr="00354D39" w:rsidRDefault="00354D39" w:rsidP="00354D39">
      <w:pPr>
        <w:rPr>
          <w:b/>
        </w:rPr>
      </w:pPr>
      <w:r w:rsidRPr="00354D39">
        <w:rPr>
          <w:b/>
        </w:rPr>
        <w:t>A lender’s closing instructions requiring Closing Protection Coverage is deemed to be its acknowledgement of receipt of the Notice of Availability of Closing Protection Coverage and its acceptance of the Offer of Closing Protection Coverage</w:t>
      </w:r>
    </w:p>
    <w:p w14:paraId="1D5AC2D0" w14:textId="77777777" w:rsidR="00354D39" w:rsidRPr="00354D39" w:rsidRDefault="00354D39" w:rsidP="00354D39">
      <w:pPr>
        <w:rPr>
          <w:b/>
        </w:rPr>
      </w:pPr>
    </w:p>
    <w:sectPr w:rsidR="00354D39" w:rsidRPr="00354D39" w:rsidSect="00090584">
      <w:footerReference w:type="default" r:id="rId10"/>
      <w:footerReference w:type="first" r:id="rId11"/>
      <w:pgSz w:w="12240" w:h="15840" w:code="1"/>
      <w:pgMar w:top="720" w:right="360" w:bottom="720" w:left="36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2B35" w14:textId="77777777" w:rsidR="00F41775" w:rsidRDefault="00F41775" w:rsidP="0021687B">
      <w:r>
        <w:separator/>
      </w:r>
    </w:p>
  </w:endnote>
  <w:endnote w:type="continuationSeparator" w:id="0">
    <w:p w14:paraId="1ED5512F" w14:textId="77777777" w:rsidR="00F41775" w:rsidRDefault="00F41775" w:rsidP="0021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D4BB" w14:textId="25FB014B" w:rsidR="00090584" w:rsidRDefault="00090584" w:rsidP="00090584">
    <w:pPr>
      <w:pStyle w:val="Footer"/>
      <w:tabs>
        <w:tab w:val="clear" w:pos="4680"/>
        <w:tab w:val="clear" w:pos="9360"/>
        <w:tab w:val="right" w:pos="11520"/>
      </w:tabs>
    </w:pPr>
    <w:r>
      <w:t>CP-24.1</w:t>
    </w:r>
    <w:r>
      <w:tab/>
      <w:t xml:space="preserve">Page </w:t>
    </w:r>
    <w:r>
      <w:fldChar w:fldCharType="begin"/>
    </w:r>
    <w:r>
      <w:instrText xml:space="preserve"> PAGE   \* MERGEFORMAT </w:instrText>
    </w:r>
    <w:r>
      <w:fldChar w:fldCharType="separate"/>
    </w:r>
    <w:r>
      <w:t>1</w:t>
    </w:r>
    <w:r>
      <w:fldChar w:fldCharType="end"/>
    </w:r>
    <w:r>
      <w:t xml:space="preserve"> of 2</w:t>
    </w:r>
  </w:p>
  <w:p w14:paraId="73755170" w14:textId="2F9C9B35" w:rsidR="009E5075" w:rsidRPr="00090584" w:rsidRDefault="00090584" w:rsidP="00090584">
    <w:pPr>
      <w:pStyle w:val="Footer"/>
    </w:pPr>
    <w:r>
      <w:t>05/01/2013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EDD3" w14:textId="77777777" w:rsidR="00090584" w:rsidRDefault="00090584" w:rsidP="00090584">
    <w:pPr>
      <w:pStyle w:val="Footer"/>
      <w:tabs>
        <w:tab w:val="clear" w:pos="4680"/>
        <w:tab w:val="clear" w:pos="9360"/>
        <w:tab w:val="right" w:pos="11520"/>
      </w:tabs>
    </w:pPr>
    <w:r>
      <w:t>CP-24.1</w:t>
    </w:r>
    <w:r>
      <w:tab/>
      <w:t xml:space="preserve">Page </w:t>
    </w:r>
    <w:r>
      <w:fldChar w:fldCharType="begin"/>
    </w:r>
    <w:r>
      <w:instrText xml:space="preserve"> PAGE   \* MERGEFORMAT </w:instrText>
    </w:r>
    <w:r>
      <w:fldChar w:fldCharType="separate"/>
    </w:r>
    <w:r>
      <w:t>2</w:t>
    </w:r>
    <w:r>
      <w:fldChar w:fldCharType="end"/>
    </w:r>
    <w:r>
      <w:t xml:space="preserve"> of 2</w:t>
    </w:r>
  </w:p>
  <w:p w14:paraId="15B81D46" w14:textId="26ADD07C" w:rsidR="00090584" w:rsidRDefault="00090584">
    <w:pPr>
      <w:pStyle w:val="Footer"/>
    </w:pPr>
    <w:r>
      <w:t>05/01/2013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5F5E" w14:textId="77777777" w:rsidR="00F41775" w:rsidRDefault="00F41775" w:rsidP="0021687B">
      <w:r>
        <w:separator/>
      </w:r>
    </w:p>
  </w:footnote>
  <w:footnote w:type="continuationSeparator" w:id="0">
    <w:p w14:paraId="712499E3" w14:textId="77777777" w:rsidR="00F41775" w:rsidRDefault="00F41775" w:rsidP="00216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DB"/>
    <w:multiLevelType w:val="hybridMultilevel"/>
    <w:tmpl w:val="E3F6E7D8"/>
    <w:lvl w:ilvl="0" w:tplc="E83ABBB6">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654F13"/>
    <w:multiLevelType w:val="hybridMultilevel"/>
    <w:tmpl w:val="336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77DCE"/>
    <w:multiLevelType w:val="hybridMultilevel"/>
    <w:tmpl w:val="2F9CE84A"/>
    <w:lvl w:ilvl="0" w:tplc="D142840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5C2A68"/>
    <w:multiLevelType w:val="hybridMultilevel"/>
    <w:tmpl w:val="4600F736"/>
    <w:lvl w:ilvl="0" w:tplc="7D56D0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C4CA4"/>
    <w:multiLevelType w:val="hybridMultilevel"/>
    <w:tmpl w:val="65E2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4424B"/>
    <w:multiLevelType w:val="hybridMultilevel"/>
    <w:tmpl w:val="EA904E20"/>
    <w:lvl w:ilvl="0" w:tplc="0F1AC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41"/>
    <w:rsid w:val="00012FF8"/>
    <w:rsid w:val="000175EA"/>
    <w:rsid w:val="000215CE"/>
    <w:rsid w:val="00024019"/>
    <w:rsid w:val="000250B3"/>
    <w:rsid w:val="00035E5C"/>
    <w:rsid w:val="00054B49"/>
    <w:rsid w:val="00071BFC"/>
    <w:rsid w:val="000724F2"/>
    <w:rsid w:val="00074FD4"/>
    <w:rsid w:val="00081CBA"/>
    <w:rsid w:val="00090584"/>
    <w:rsid w:val="000D3694"/>
    <w:rsid w:val="001016CB"/>
    <w:rsid w:val="00101860"/>
    <w:rsid w:val="0015409C"/>
    <w:rsid w:val="001F2B31"/>
    <w:rsid w:val="00202564"/>
    <w:rsid w:val="00203DEA"/>
    <w:rsid w:val="00214CED"/>
    <w:rsid w:val="0021687B"/>
    <w:rsid w:val="00262963"/>
    <w:rsid w:val="00354D39"/>
    <w:rsid w:val="003725A2"/>
    <w:rsid w:val="00396AFF"/>
    <w:rsid w:val="003D38D0"/>
    <w:rsid w:val="00400DF9"/>
    <w:rsid w:val="0040199F"/>
    <w:rsid w:val="00420BFD"/>
    <w:rsid w:val="00445270"/>
    <w:rsid w:val="00445AE1"/>
    <w:rsid w:val="00445FD4"/>
    <w:rsid w:val="004506AB"/>
    <w:rsid w:val="004705D8"/>
    <w:rsid w:val="00473F8B"/>
    <w:rsid w:val="00497963"/>
    <w:rsid w:val="004B4DA9"/>
    <w:rsid w:val="004C1077"/>
    <w:rsid w:val="005042B9"/>
    <w:rsid w:val="00512C97"/>
    <w:rsid w:val="00530DD9"/>
    <w:rsid w:val="00543657"/>
    <w:rsid w:val="005624C4"/>
    <w:rsid w:val="00595260"/>
    <w:rsid w:val="005A2A77"/>
    <w:rsid w:val="005C56AE"/>
    <w:rsid w:val="00633576"/>
    <w:rsid w:val="0063448E"/>
    <w:rsid w:val="0063585C"/>
    <w:rsid w:val="00636117"/>
    <w:rsid w:val="006404AC"/>
    <w:rsid w:val="006441EC"/>
    <w:rsid w:val="0068031A"/>
    <w:rsid w:val="00727F4B"/>
    <w:rsid w:val="0074676D"/>
    <w:rsid w:val="00783A74"/>
    <w:rsid w:val="0079269B"/>
    <w:rsid w:val="00794525"/>
    <w:rsid w:val="007A1C77"/>
    <w:rsid w:val="007B3141"/>
    <w:rsid w:val="00833478"/>
    <w:rsid w:val="00837DB8"/>
    <w:rsid w:val="00854B19"/>
    <w:rsid w:val="00860E71"/>
    <w:rsid w:val="0087171C"/>
    <w:rsid w:val="00874FF3"/>
    <w:rsid w:val="008A199A"/>
    <w:rsid w:val="008A1AF9"/>
    <w:rsid w:val="008A5A4F"/>
    <w:rsid w:val="0092128D"/>
    <w:rsid w:val="00941923"/>
    <w:rsid w:val="009611C2"/>
    <w:rsid w:val="009627DB"/>
    <w:rsid w:val="00986CB6"/>
    <w:rsid w:val="009B5FF4"/>
    <w:rsid w:val="009B7D33"/>
    <w:rsid w:val="009C2FEF"/>
    <w:rsid w:val="009C31B3"/>
    <w:rsid w:val="009E5075"/>
    <w:rsid w:val="009E5538"/>
    <w:rsid w:val="009F5122"/>
    <w:rsid w:val="00A2042E"/>
    <w:rsid w:val="00A417C2"/>
    <w:rsid w:val="00A61E91"/>
    <w:rsid w:val="00A93A6B"/>
    <w:rsid w:val="00AA79EC"/>
    <w:rsid w:val="00AC19B3"/>
    <w:rsid w:val="00AC3E52"/>
    <w:rsid w:val="00B4058A"/>
    <w:rsid w:val="00B472DB"/>
    <w:rsid w:val="00B71943"/>
    <w:rsid w:val="00B8180E"/>
    <w:rsid w:val="00B95D70"/>
    <w:rsid w:val="00BC4781"/>
    <w:rsid w:val="00BE325E"/>
    <w:rsid w:val="00BE4A0F"/>
    <w:rsid w:val="00C025C3"/>
    <w:rsid w:val="00C3559A"/>
    <w:rsid w:val="00C554E1"/>
    <w:rsid w:val="00C70632"/>
    <w:rsid w:val="00C75A95"/>
    <w:rsid w:val="00CD01B0"/>
    <w:rsid w:val="00CE59CD"/>
    <w:rsid w:val="00CF734A"/>
    <w:rsid w:val="00D01A12"/>
    <w:rsid w:val="00D10A93"/>
    <w:rsid w:val="00D30220"/>
    <w:rsid w:val="00D700AF"/>
    <w:rsid w:val="00DA4856"/>
    <w:rsid w:val="00DC6A4C"/>
    <w:rsid w:val="00DC73BE"/>
    <w:rsid w:val="00E36655"/>
    <w:rsid w:val="00E36A45"/>
    <w:rsid w:val="00E53641"/>
    <w:rsid w:val="00E76B0D"/>
    <w:rsid w:val="00EB3CDE"/>
    <w:rsid w:val="00EF1691"/>
    <w:rsid w:val="00F13C43"/>
    <w:rsid w:val="00F41775"/>
    <w:rsid w:val="00F46C15"/>
    <w:rsid w:val="00FE691A"/>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0DF6027"/>
  <w15:docId w15:val="{8049E723-243B-4793-9D0A-E09E9E26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058A"/>
    <w:pPr>
      <w:keepNext/>
      <w:spacing w:line="240" w:lineRule="exact"/>
      <w:jc w:val="both"/>
      <w:outlineLvl w:val="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141"/>
    <w:pPr>
      <w:ind w:left="720"/>
      <w:contextualSpacing/>
    </w:pPr>
  </w:style>
  <w:style w:type="paragraph" w:styleId="Header">
    <w:name w:val="header"/>
    <w:basedOn w:val="Normal"/>
    <w:link w:val="HeaderChar"/>
    <w:uiPriority w:val="99"/>
    <w:unhideWhenUsed/>
    <w:rsid w:val="0021687B"/>
    <w:pPr>
      <w:tabs>
        <w:tab w:val="center" w:pos="4680"/>
        <w:tab w:val="right" w:pos="9360"/>
      </w:tabs>
    </w:pPr>
  </w:style>
  <w:style w:type="character" w:customStyle="1" w:styleId="HeaderChar">
    <w:name w:val="Header Char"/>
    <w:basedOn w:val="DefaultParagraphFont"/>
    <w:link w:val="Header"/>
    <w:uiPriority w:val="99"/>
    <w:rsid w:val="0021687B"/>
  </w:style>
  <w:style w:type="paragraph" w:styleId="Footer">
    <w:name w:val="footer"/>
    <w:basedOn w:val="Normal"/>
    <w:link w:val="FooterChar"/>
    <w:unhideWhenUsed/>
    <w:rsid w:val="0021687B"/>
    <w:pPr>
      <w:tabs>
        <w:tab w:val="center" w:pos="4680"/>
        <w:tab w:val="right" w:pos="9360"/>
      </w:tabs>
    </w:pPr>
  </w:style>
  <w:style w:type="character" w:customStyle="1" w:styleId="FooterChar">
    <w:name w:val="Footer Char"/>
    <w:basedOn w:val="DefaultParagraphFont"/>
    <w:link w:val="Footer"/>
    <w:rsid w:val="0021687B"/>
  </w:style>
  <w:style w:type="paragraph" w:styleId="BalloonText">
    <w:name w:val="Balloon Text"/>
    <w:basedOn w:val="Normal"/>
    <w:link w:val="BalloonTextChar"/>
    <w:uiPriority w:val="99"/>
    <w:semiHidden/>
    <w:unhideWhenUsed/>
    <w:rsid w:val="009627DB"/>
    <w:rPr>
      <w:rFonts w:ascii="Tahoma" w:hAnsi="Tahoma" w:cs="Tahoma"/>
      <w:sz w:val="16"/>
      <w:szCs w:val="16"/>
    </w:rPr>
  </w:style>
  <w:style w:type="character" w:customStyle="1" w:styleId="BalloonTextChar">
    <w:name w:val="Balloon Text Char"/>
    <w:basedOn w:val="DefaultParagraphFont"/>
    <w:link w:val="BalloonText"/>
    <w:uiPriority w:val="99"/>
    <w:semiHidden/>
    <w:rsid w:val="009627DB"/>
    <w:rPr>
      <w:rFonts w:ascii="Tahoma" w:hAnsi="Tahoma" w:cs="Tahoma"/>
      <w:sz w:val="16"/>
      <w:szCs w:val="16"/>
    </w:rPr>
  </w:style>
  <w:style w:type="character" w:customStyle="1" w:styleId="Heading1Char">
    <w:name w:val="Heading 1 Char"/>
    <w:basedOn w:val="DefaultParagraphFont"/>
    <w:link w:val="Heading1"/>
    <w:rsid w:val="00B4058A"/>
    <w:rPr>
      <w:rFonts w:ascii="Times New Roman" w:eastAsia="Times New Roman" w:hAnsi="Times New Roman" w:cs="Times New Roman"/>
      <w:sz w:val="24"/>
    </w:rPr>
  </w:style>
  <w:style w:type="paragraph" w:customStyle="1" w:styleId="Default">
    <w:name w:val="Default"/>
    <w:rsid w:val="00090584"/>
    <w:pPr>
      <w:widowControl w:val="0"/>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567">
      <w:bodyDiv w:val="1"/>
      <w:marLeft w:val="0"/>
      <w:marRight w:val="0"/>
      <w:marTop w:val="0"/>
      <w:marBottom w:val="0"/>
      <w:divBdr>
        <w:top w:val="none" w:sz="0" w:space="0" w:color="auto"/>
        <w:left w:val="none" w:sz="0" w:space="0" w:color="auto"/>
        <w:bottom w:val="none" w:sz="0" w:space="0" w:color="auto"/>
        <w:right w:val="none" w:sz="0" w:space="0" w:color="auto"/>
      </w:divBdr>
    </w:div>
    <w:div w:id="10423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G:\Rates,%20Rules%20&amp;amp;%20Forms\zMiscellaneous\Signature%20Blocks%20and%20Logos\New%20logos%20with%20TM\FNTI-SWTIC-Logos\FNTI\JPG\DOCUMENTS%20-%20FNTI-Logo-Primary-Horizontal-TM-whitelettering-blueba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0A39-EB86-4E13-B4B3-591EE2FB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Errin Froggatt</dc:creator>
  <cp:lastModifiedBy>Courtney Harty</cp:lastModifiedBy>
  <cp:revision>6</cp:revision>
  <cp:lastPrinted>2020-07-17T14:05:00Z</cp:lastPrinted>
  <dcterms:created xsi:type="dcterms:W3CDTF">2021-10-26T17:14:00Z</dcterms:created>
  <dcterms:modified xsi:type="dcterms:W3CDTF">2021-11-03T13:52:00Z</dcterms:modified>
</cp:coreProperties>
</file>