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818EF2D" w:rsidR="00A6128A" w:rsidRPr="004532EA" w:rsidRDefault="007F19C9" w:rsidP="00A6128A">
      <w:pPr>
        <w:pStyle w:val="Header1"/>
        <w:pBdr>
          <w:bottom w:val="none" w:sz="0" w:space="0" w:color="auto"/>
        </w:pBdr>
        <w:tabs>
          <w:tab w:val="clear" w:pos="4320"/>
          <w:tab w:val="clear" w:pos="9360"/>
        </w:tabs>
        <w:spacing w:after="107"/>
        <w:jc w:val="center"/>
        <w:rPr>
          <w:rFonts w:cs="Arial"/>
          <w:bCs/>
        </w:rPr>
      </w:pPr>
      <w:r w:rsidRPr="007F19C9">
        <w:rPr>
          <w:rFonts w:cs="Arial"/>
          <w:bCs/>
        </w:rPr>
        <w:t>ALTA 12.1 AGGREGATION</w:t>
      </w:r>
      <w:r>
        <w:rPr>
          <w:rFonts w:cs="Arial"/>
          <w:bCs/>
        </w:rPr>
        <w:t xml:space="preserve"> — </w:t>
      </w:r>
      <w:r w:rsidRPr="007F19C9">
        <w:rPr>
          <w:rFonts w:cs="Arial"/>
          <w:bCs/>
        </w:rPr>
        <w:t>STATE LIMITS</w:t>
      </w:r>
      <w:r>
        <w:rPr>
          <w:rFonts w:cs="Arial"/>
          <w:bCs/>
        </w:rPr>
        <w:t xml:space="preserve"> — </w:t>
      </w:r>
      <w:r w:rsidRPr="007F19C9">
        <w:rPr>
          <w:rFonts w:cs="Arial"/>
          <w:bCs/>
        </w:rPr>
        <w:t>LOAN POLICY ENDORSEMENT</w:t>
      </w:r>
    </w:p>
    <w:p w14:paraId="09AB2C78" w14:textId="16A2A114" w:rsidR="00A6128A" w:rsidRPr="00B30D0D" w:rsidRDefault="007F19C9"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7F19C9">
        <w:rPr>
          <w:rFonts w:cs="Arial"/>
          <w:bCs/>
        </w:rPr>
        <w:t>This endorsement is issued as part of</w:t>
      </w:r>
      <w:r w:rsidR="00EB6165">
        <w:rPr>
          <w:rFonts w:cs="Arial"/>
          <w:bCs/>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3D3A76A4" w:rsidR="00A6128A" w:rsidRPr="004532EA" w:rsidRDefault="00EB6165"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06E63A0A">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C2377A2" w14:textId="77777777" w:rsidR="00CD2AF5" w:rsidRDefault="00CD2AF5" w:rsidP="00CD2AF5">
            <w:pPr>
              <w:pStyle w:val="ListParagraph"/>
              <w:numPr>
                <w:ilvl w:val="0"/>
                <w:numId w:val="1"/>
              </w:numPr>
              <w:spacing w:after="107"/>
              <w:contextualSpacing w:val="0"/>
              <w:jc w:val="both"/>
            </w:pPr>
            <w:r>
              <w:t>The following policies are issued in conjunction with one another:</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40"/>
              <w:gridCol w:w="420"/>
              <w:gridCol w:w="2940"/>
              <w:gridCol w:w="420"/>
              <w:gridCol w:w="3360"/>
            </w:tblGrid>
            <w:tr w:rsidR="00CD2AF5" w:rsidRPr="004E0F33" w14:paraId="4C2572B2" w14:textId="77777777" w:rsidTr="0079595F">
              <w:tc>
                <w:tcPr>
                  <w:tcW w:w="2520" w:type="dxa"/>
                  <w:vAlign w:val="center"/>
                </w:tcPr>
                <w:p w14:paraId="77B17A55" w14:textId="77777777" w:rsidR="00CD2AF5" w:rsidRPr="004E0F33" w:rsidRDefault="00CD2AF5" w:rsidP="00CD2AF5">
                  <w:pPr>
                    <w:spacing w:before="80" w:after="107"/>
                    <w:rPr>
                      <w:rFonts w:eastAsia="Times New Roman" w:cs="Arial"/>
                      <w:szCs w:val="20"/>
                    </w:rPr>
                  </w:pPr>
                  <w:r w:rsidRPr="004E0F33">
                    <w:rPr>
                      <w:rFonts w:eastAsia="Times New Roman" w:cs="Arial"/>
                      <w:szCs w:val="20"/>
                    </w:rPr>
                    <w:t>POLICY NUMBER</w:t>
                  </w:r>
                </w:p>
              </w:tc>
              <w:tc>
                <w:tcPr>
                  <w:tcW w:w="360" w:type="dxa"/>
                </w:tcPr>
                <w:p w14:paraId="6EAF1213" w14:textId="77777777" w:rsidR="00CD2AF5" w:rsidRPr="004E0F33" w:rsidRDefault="00CD2AF5" w:rsidP="00CD2AF5">
                  <w:pPr>
                    <w:spacing w:before="80" w:after="107"/>
                    <w:rPr>
                      <w:rFonts w:eastAsia="Times New Roman" w:cs="Arial"/>
                      <w:szCs w:val="20"/>
                    </w:rPr>
                  </w:pPr>
                </w:p>
              </w:tc>
              <w:tc>
                <w:tcPr>
                  <w:tcW w:w="2520" w:type="dxa"/>
                  <w:vAlign w:val="center"/>
                </w:tcPr>
                <w:p w14:paraId="4D556534" w14:textId="77777777" w:rsidR="00CD2AF5" w:rsidRPr="004E0F33" w:rsidRDefault="00CD2AF5" w:rsidP="00CD2AF5">
                  <w:pPr>
                    <w:spacing w:before="80" w:after="107"/>
                    <w:rPr>
                      <w:rFonts w:eastAsia="Times New Roman" w:cs="Arial"/>
                      <w:szCs w:val="20"/>
                    </w:rPr>
                  </w:pPr>
                  <w:r w:rsidRPr="004E0F33">
                    <w:rPr>
                      <w:rFonts w:eastAsia="Times New Roman" w:cs="Arial"/>
                      <w:szCs w:val="20"/>
                    </w:rPr>
                    <w:t>STATE</w:t>
                  </w:r>
                </w:p>
              </w:tc>
              <w:tc>
                <w:tcPr>
                  <w:tcW w:w="360" w:type="dxa"/>
                </w:tcPr>
                <w:p w14:paraId="601850EF" w14:textId="77777777" w:rsidR="00CD2AF5" w:rsidRPr="004E0F33" w:rsidRDefault="00CD2AF5" w:rsidP="00CD2AF5">
                  <w:pPr>
                    <w:spacing w:before="80" w:after="107"/>
                    <w:rPr>
                      <w:rFonts w:eastAsia="Times New Roman" w:cs="Arial"/>
                      <w:szCs w:val="20"/>
                    </w:rPr>
                  </w:pPr>
                </w:p>
              </w:tc>
              <w:tc>
                <w:tcPr>
                  <w:tcW w:w="2880" w:type="dxa"/>
                  <w:vAlign w:val="center"/>
                </w:tcPr>
                <w:p w14:paraId="1FE5C0E2" w14:textId="77777777" w:rsidR="00CD2AF5" w:rsidRPr="004E0F33" w:rsidRDefault="00CD2AF5" w:rsidP="00CD2AF5">
                  <w:pPr>
                    <w:spacing w:before="80" w:after="107"/>
                    <w:rPr>
                      <w:rFonts w:eastAsia="Times New Roman" w:cs="Arial"/>
                      <w:szCs w:val="20"/>
                    </w:rPr>
                  </w:pPr>
                  <w:r w:rsidRPr="004E0F33">
                    <w:rPr>
                      <w:rFonts w:eastAsia="Times New Roman" w:cs="Arial"/>
                      <w:szCs w:val="20"/>
                    </w:rPr>
                    <w:t>AMOUNT OF INSURANCE</w:t>
                  </w:r>
                </w:p>
              </w:tc>
            </w:tr>
            <w:tr w:rsidR="00CD2AF5" w:rsidRPr="004E0F33" w14:paraId="417803F8" w14:textId="77777777" w:rsidTr="0079595F">
              <w:tc>
                <w:tcPr>
                  <w:tcW w:w="2520" w:type="dxa"/>
                  <w:tcBorders>
                    <w:bottom w:val="single" w:sz="4" w:space="0" w:color="auto"/>
                  </w:tcBorders>
                  <w:vAlign w:val="center"/>
                </w:tcPr>
                <w:p w14:paraId="53ADF346" w14:textId="77777777" w:rsidR="00CD2AF5" w:rsidRPr="004E0F33" w:rsidRDefault="00CD2AF5" w:rsidP="00CD2AF5">
                  <w:pPr>
                    <w:spacing w:before="80" w:after="107"/>
                    <w:rPr>
                      <w:rFonts w:eastAsia="Times New Roman" w:cs="Arial"/>
                      <w:szCs w:val="20"/>
                    </w:rPr>
                  </w:pPr>
                </w:p>
              </w:tc>
              <w:tc>
                <w:tcPr>
                  <w:tcW w:w="360" w:type="dxa"/>
                </w:tcPr>
                <w:p w14:paraId="535AB1C0" w14:textId="77777777" w:rsidR="00CD2AF5" w:rsidRPr="004E0F33" w:rsidRDefault="00CD2AF5" w:rsidP="00CD2AF5">
                  <w:pPr>
                    <w:spacing w:before="80" w:after="107"/>
                    <w:rPr>
                      <w:rFonts w:eastAsia="Times New Roman" w:cs="Arial"/>
                      <w:szCs w:val="20"/>
                      <w:u w:val="single"/>
                    </w:rPr>
                  </w:pPr>
                </w:p>
              </w:tc>
              <w:tc>
                <w:tcPr>
                  <w:tcW w:w="2520" w:type="dxa"/>
                  <w:tcBorders>
                    <w:bottom w:val="single" w:sz="4" w:space="0" w:color="auto"/>
                  </w:tcBorders>
                  <w:vAlign w:val="center"/>
                </w:tcPr>
                <w:p w14:paraId="5961ED1D" w14:textId="77777777" w:rsidR="00CD2AF5" w:rsidRPr="004E0F33" w:rsidRDefault="00CD2AF5" w:rsidP="00CD2AF5">
                  <w:pPr>
                    <w:spacing w:before="80" w:after="107"/>
                    <w:rPr>
                      <w:rFonts w:eastAsia="Times New Roman" w:cs="Arial"/>
                      <w:szCs w:val="20"/>
                    </w:rPr>
                  </w:pPr>
                </w:p>
              </w:tc>
              <w:tc>
                <w:tcPr>
                  <w:tcW w:w="360" w:type="dxa"/>
                </w:tcPr>
                <w:p w14:paraId="1CD24DA0" w14:textId="77777777" w:rsidR="00CD2AF5" w:rsidRPr="004E0F33" w:rsidRDefault="00CD2AF5" w:rsidP="00CD2AF5">
                  <w:pPr>
                    <w:spacing w:before="80" w:after="107"/>
                    <w:rPr>
                      <w:rFonts w:eastAsia="Times New Roman" w:cs="Arial"/>
                      <w:szCs w:val="20"/>
                    </w:rPr>
                  </w:pPr>
                </w:p>
              </w:tc>
              <w:tc>
                <w:tcPr>
                  <w:tcW w:w="2880" w:type="dxa"/>
                  <w:tcBorders>
                    <w:bottom w:val="single" w:sz="4" w:space="0" w:color="auto"/>
                  </w:tcBorders>
                  <w:vAlign w:val="center"/>
                </w:tcPr>
                <w:p w14:paraId="4AF8AFAB" w14:textId="77777777" w:rsidR="00CD2AF5" w:rsidRPr="004E0F33" w:rsidRDefault="00CD2AF5" w:rsidP="00CD2AF5">
                  <w:pPr>
                    <w:spacing w:before="80" w:after="107"/>
                    <w:rPr>
                      <w:rFonts w:eastAsia="Times New Roman" w:cs="Arial"/>
                      <w:szCs w:val="20"/>
                    </w:rPr>
                  </w:pPr>
                  <w:r w:rsidRPr="004E0F33">
                    <w:rPr>
                      <w:rFonts w:eastAsia="Times New Roman" w:cs="Arial"/>
                      <w:szCs w:val="20"/>
                    </w:rPr>
                    <w:t xml:space="preserve">$ </w:t>
                  </w:r>
                </w:p>
              </w:tc>
            </w:tr>
            <w:tr w:rsidR="00CD2AF5" w:rsidRPr="004E0F33" w14:paraId="2D2819E3" w14:textId="77777777" w:rsidTr="0079595F">
              <w:tc>
                <w:tcPr>
                  <w:tcW w:w="2520" w:type="dxa"/>
                  <w:tcBorders>
                    <w:top w:val="single" w:sz="4" w:space="0" w:color="auto"/>
                    <w:bottom w:val="single" w:sz="4" w:space="0" w:color="auto"/>
                  </w:tcBorders>
                  <w:vAlign w:val="center"/>
                </w:tcPr>
                <w:p w14:paraId="343D1A8F" w14:textId="77777777" w:rsidR="00CD2AF5" w:rsidRPr="004E0F33" w:rsidRDefault="00CD2AF5" w:rsidP="00CD2AF5">
                  <w:pPr>
                    <w:spacing w:before="80" w:after="107"/>
                    <w:rPr>
                      <w:rFonts w:eastAsia="Times New Roman" w:cs="Arial"/>
                      <w:szCs w:val="20"/>
                    </w:rPr>
                  </w:pPr>
                </w:p>
              </w:tc>
              <w:tc>
                <w:tcPr>
                  <w:tcW w:w="360" w:type="dxa"/>
                </w:tcPr>
                <w:p w14:paraId="2730B525" w14:textId="77777777" w:rsidR="00CD2AF5" w:rsidRPr="004E0F33" w:rsidRDefault="00CD2AF5" w:rsidP="00CD2AF5">
                  <w:pPr>
                    <w:spacing w:before="80" w:after="107"/>
                    <w:rPr>
                      <w:rFonts w:eastAsia="Times New Roman" w:cs="Arial"/>
                      <w:szCs w:val="20"/>
                      <w:u w:val="single"/>
                    </w:rPr>
                  </w:pPr>
                </w:p>
              </w:tc>
              <w:tc>
                <w:tcPr>
                  <w:tcW w:w="2520" w:type="dxa"/>
                  <w:tcBorders>
                    <w:top w:val="single" w:sz="4" w:space="0" w:color="auto"/>
                    <w:bottom w:val="single" w:sz="4" w:space="0" w:color="auto"/>
                  </w:tcBorders>
                  <w:vAlign w:val="center"/>
                </w:tcPr>
                <w:p w14:paraId="12A21413" w14:textId="77777777" w:rsidR="00CD2AF5" w:rsidRPr="004E0F33" w:rsidRDefault="00CD2AF5" w:rsidP="00CD2AF5">
                  <w:pPr>
                    <w:spacing w:before="80" w:after="107"/>
                    <w:rPr>
                      <w:rFonts w:eastAsia="Times New Roman" w:cs="Arial"/>
                      <w:szCs w:val="20"/>
                    </w:rPr>
                  </w:pPr>
                </w:p>
              </w:tc>
              <w:tc>
                <w:tcPr>
                  <w:tcW w:w="360" w:type="dxa"/>
                </w:tcPr>
                <w:p w14:paraId="6EE8E940" w14:textId="77777777" w:rsidR="00CD2AF5" w:rsidRPr="004E0F33" w:rsidRDefault="00CD2AF5" w:rsidP="00CD2AF5">
                  <w:pPr>
                    <w:spacing w:before="80" w:after="107"/>
                    <w:rPr>
                      <w:rFonts w:eastAsia="Times New Roman" w:cs="Arial"/>
                      <w:szCs w:val="20"/>
                    </w:rPr>
                  </w:pPr>
                </w:p>
              </w:tc>
              <w:tc>
                <w:tcPr>
                  <w:tcW w:w="2880" w:type="dxa"/>
                  <w:tcBorders>
                    <w:top w:val="single" w:sz="4" w:space="0" w:color="auto"/>
                    <w:bottom w:val="single" w:sz="4" w:space="0" w:color="auto"/>
                  </w:tcBorders>
                  <w:vAlign w:val="center"/>
                </w:tcPr>
                <w:p w14:paraId="78493FF9" w14:textId="77777777" w:rsidR="00CD2AF5" w:rsidRPr="004E0F33" w:rsidRDefault="00CD2AF5" w:rsidP="00CD2AF5">
                  <w:pPr>
                    <w:spacing w:before="80" w:after="107"/>
                    <w:rPr>
                      <w:rFonts w:eastAsia="Times New Roman" w:cs="Arial"/>
                      <w:szCs w:val="20"/>
                    </w:rPr>
                  </w:pPr>
                  <w:r w:rsidRPr="004E0F33">
                    <w:rPr>
                      <w:rFonts w:eastAsia="Times New Roman" w:cs="Arial"/>
                      <w:szCs w:val="20"/>
                    </w:rPr>
                    <w:t xml:space="preserve">$ </w:t>
                  </w:r>
                </w:p>
              </w:tc>
            </w:tr>
            <w:tr w:rsidR="00CD2AF5" w:rsidRPr="004E0F33" w14:paraId="2CA311EE" w14:textId="77777777" w:rsidTr="0079595F">
              <w:tc>
                <w:tcPr>
                  <w:tcW w:w="2520" w:type="dxa"/>
                  <w:tcBorders>
                    <w:top w:val="single" w:sz="4" w:space="0" w:color="auto"/>
                    <w:bottom w:val="single" w:sz="4" w:space="0" w:color="auto"/>
                  </w:tcBorders>
                  <w:vAlign w:val="center"/>
                </w:tcPr>
                <w:p w14:paraId="7675D8A0" w14:textId="77777777" w:rsidR="00CD2AF5" w:rsidRPr="004E0F33" w:rsidRDefault="00CD2AF5" w:rsidP="00CD2AF5">
                  <w:pPr>
                    <w:spacing w:before="80" w:after="107"/>
                    <w:rPr>
                      <w:rFonts w:eastAsia="Times New Roman" w:cs="Arial"/>
                      <w:szCs w:val="20"/>
                    </w:rPr>
                  </w:pPr>
                </w:p>
              </w:tc>
              <w:tc>
                <w:tcPr>
                  <w:tcW w:w="360" w:type="dxa"/>
                </w:tcPr>
                <w:p w14:paraId="2204770D" w14:textId="77777777" w:rsidR="00CD2AF5" w:rsidRPr="004E0F33" w:rsidRDefault="00CD2AF5" w:rsidP="00CD2AF5">
                  <w:pPr>
                    <w:spacing w:before="80" w:after="107"/>
                    <w:rPr>
                      <w:rFonts w:eastAsia="Times New Roman" w:cs="Arial"/>
                      <w:szCs w:val="20"/>
                      <w:u w:val="single"/>
                    </w:rPr>
                  </w:pPr>
                </w:p>
              </w:tc>
              <w:tc>
                <w:tcPr>
                  <w:tcW w:w="2520" w:type="dxa"/>
                  <w:tcBorders>
                    <w:top w:val="single" w:sz="4" w:space="0" w:color="auto"/>
                    <w:bottom w:val="single" w:sz="4" w:space="0" w:color="auto"/>
                  </w:tcBorders>
                  <w:vAlign w:val="center"/>
                </w:tcPr>
                <w:p w14:paraId="2057EA31" w14:textId="77777777" w:rsidR="00CD2AF5" w:rsidRPr="004E0F33" w:rsidRDefault="00CD2AF5" w:rsidP="00CD2AF5">
                  <w:pPr>
                    <w:spacing w:before="80" w:after="107"/>
                    <w:rPr>
                      <w:rFonts w:eastAsia="Times New Roman" w:cs="Arial"/>
                      <w:szCs w:val="20"/>
                    </w:rPr>
                  </w:pPr>
                </w:p>
              </w:tc>
              <w:tc>
                <w:tcPr>
                  <w:tcW w:w="360" w:type="dxa"/>
                </w:tcPr>
                <w:p w14:paraId="67C023AE" w14:textId="77777777" w:rsidR="00CD2AF5" w:rsidRPr="004E0F33" w:rsidRDefault="00CD2AF5" w:rsidP="00CD2AF5">
                  <w:pPr>
                    <w:spacing w:before="80" w:after="107"/>
                    <w:rPr>
                      <w:rFonts w:eastAsia="Times New Roman" w:cs="Arial"/>
                      <w:szCs w:val="20"/>
                    </w:rPr>
                  </w:pPr>
                </w:p>
              </w:tc>
              <w:tc>
                <w:tcPr>
                  <w:tcW w:w="2880" w:type="dxa"/>
                  <w:tcBorders>
                    <w:top w:val="single" w:sz="4" w:space="0" w:color="auto"/>
                    <w:bottom w:val="single" w:sz="4" w:space="0" w:color="auto"/>
                  </w:tcBorders>
                  <w:vAlign w:val="center"/>
                </w:tcPr>
                <w:p w14:paraId="5125A7CC" w14:textId="77777777" w:rsidR="00CD2AF5" w:rsidRPr="004E0F33" w:rsidRDefault="00CD2AF5" w:rsidP="00CD2AF5">
                  <w:pPr>
                    <w:spacing w:before="80" w:after="107"/>
                    <w:rPr>
                      <w:rFonts w:eastAsia="Times New Roman" w:cs="Arial"/>
                      <w:szCs w:val="20"/>
                    </w:rPr>
                  </w:pPr>
                  <w:r w:rsidRPr="004E0F33">
                    <w:rPr>
                      <w:rFonts w:eastAsia="Times New Roman" w:cs="Arial"/>
                      <w:szCs w:val="20"/>
                    </w:rPr>
                    <w:t xml:space="preserve">$ </w:t>
                  </w:r>
                </w:p>
              </w:tc>
            </w:tr>
          </w:tbl>
          <w:p w14:paraId="62CC21A9" w14:textId="1825C5D7" w:rsidR="0008668B" w:rsidRDefault="0008668B" w:rsidP="00CD2AF5">
            <w:pPr>
              <w:spacing w:after="107"/>
              <w:jc w:val="both"/>
            </w:pPr>
          </w:p>
          <w:p w14:paraId="72947715" w14:textId="5C353524" w:rsidR="00CD2AF5" w:rsidRPr="00CD2AF5" w:rsidRDefault="00CD2AF5" w:rsidP="00CD2AF5">
            <w:pPr>
              <w:pStyle w:val="ListParagraph"/>
              <w:numPr>
                <w:ilvl w:val="0"/>
                <w:numId w:val="1"/>
              </w:numPr>
              <w:spacing w:after="107"/>
              <w:contextualSpacing w:val="0"/>
            </w:pPr>
            <w:r w:rsidRPr="00CD2AF5">
              <w:t>The amount of insurance available to cover the Company’s liability for loss or damage under this policy at the time of</w:t>
            </w:r>
            <w:r w:rsidR="009C6B54">
              <w:t> </w:t>
            </w:r>
            <w:r w:rsidRPr="00CD2AF5">
              <w:t>payment of loss shall be the Aggregate Amount of Insurance defined in Section 3 of this endorsement.</w:t>
            </w:r>
          </w:p>
          <w:p w14:paraId="2F315182" w14:textId="77777777" w:rsidR="00CD2AF5" w:rsidRPr="00CD2AF5" w:rsidRDefault="00CD2AF5" w:rsidP="00CD2AF5">
            <w:pPr>
              <w:pStyle w:val="ListParagraph"/>
              <w:numPr>
                <w:ilvl w:val="0"/>
                <w:numId w:val="1"/>
              </w:numPr>
              <w:spacing w:after="107"/>
              <w:contextualSpacing w:val="0"/>
            </w:pPr>
            <w:r w:rsidRPr="00CD2AF5">
              <w:t>Subject to the limits in Section 4 of this endorsement, the Aggregate Amount of Insurance under this policy is either:</w:t>
            </w:r>
          </w:p>
          <w:p w14:paraId="1210A406" w14:textId="740A01EC" w:rsidR="00CD2AF5" w:rsidRPr="00CD2AF5" w:rsidRDefault="00CD2AF5" w:rsidP="00CD2AF5">
            <w:pPr>
              <w:pStyle w:val="ListParagraph"/>
              <w:numPr>
                <w:ilvl w:val="1"/>
                <w:numId w:val="1"/>
              </w:numPr>
              <w:spacing w:after="107"/>
              <w:contextualSpacing w:val="0"/>
            </w:pPr>
            <w:r w:rsidRPr="00CD2AF5">
              <w:t xml:space="preserve">$ </w:t>
            </w:r>
            <w:r>
              <w:t>__________;</w:t>
            </w:r>
            <w:r w:rsidRPr="00CD2AF5">
              <w:t xml:space="preserve"> or</w:t>
            </w:r>
          </w:p>
          <w:p w14:paraId="1D805C2B" w14:textId="5F4827E7" w:rsidR="0008668B" w:rsidRDefault="00CD2AF5" w:rsidP="00CD2AF5">
            <w:pPr>
              <w:pStyle w:val="ListParagraph"/>
              <w:numPr>
                <w:ilvl w:val="1"/>
                <w:numId w:val="1"/>
              </w:numPr>
              <w:spacing w:after="107"/>
              <w:contextualSpacing w:val="0"/>
              <w:jc w:val="both"/>
            </w:pPr>
            <w:r w:rsidRPr="00CD2AF5">
              <w:t>If the Land is located in one of the states identified in this subsection, then the Aggregate Amount of Insurance is</w:t>
            </w:r>
            <w:r w:rsidR="009C6B54">
              <w:t> </w:t>
            </w:r>
            <w:r w:rsidRPr="00CD2AF5">
              <w:t>restricted to the amount shown below:</w:t>
            </w:r>
          </w:p>
          <w:tbl>
            <w:tblPr>
              <w:tblStyle w:val="TableGrid"/>
              <w:tblW w:w="909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
              <w:gridCol w:w="2940"/>
              <w:gridCol w:w="420"/>
              <w:gridCol w:w="5310"/>
            </w:tblGrid>
            <w:tr w:rsidR="00CD2AF5" w:rsidRPr="004E0F33" w14:paraId="114A4188" w14:textId="77777777" w:rsidTr="00CD2AF5">
              <w:tc>
                <w:tcPr>
                  <w:tcW w:w="420" w:type="dxa"/>
                </w:tcPr>
                <w:p w14:paraId="1CA4F6E0" w14:textId="77777777" w:rsidR="00CD2AF5" w:rsidRPr="004E0F33" w:rsidRDefault="00CD2AF5" w:rsidP="00CD2AF5">
                  <w:pPr>
                    <w:spacing w:before="80" w:after="107"/>
                    <w:rPr>
                      <w:rFonts w:eastAsia="Times New Roman" w:cs="Arial"/>
                      <w:szCs w:val="20"/>
                    </w:rPr>
                  </w:pPr>
                </w:p>
              </w:tc>
              <w:tc>
                <w:tcPr>
                  <w:tcW w:w="2940" w:type="dxa"/>
                  <w:vAlign w:val="center"/>
                </w:tcPr>
                <w:p w14:paraId="7F9FC34B" w14:textId="77777777" w:rsidR="00CD2AF5" w:rsidRPr="004E0F33" w:rsidRDefault="00CD2AF5" w:rsidP="00CD2AF5">
                  <w:pPr>
                    <w:spacing w:before="80" w:after="107"/>
                    <w:rPr>
                      <w:rFonts w:eastAsia="Times New Roman" w:cs="Arial"/>
                      <w:szCs w:val="20"/>
                    </w:rPr>
                  </w:pPr>
                  <w:r w:rsidRPr="004E0F33">
                    <w:rPr>
                      <w:rFonts w:eastAsia="Times New Roman" w:cs="Arial"/>
                      <w:szCs w:val="20"/>
                    </w:rPr>
                    <w:t>STATE</w:t>
                  </w:r>
                </w:p>
              </w:tc>
              <w:tc>
                <w:tcPr>
                  <w:tcW w:w="420" w:type="dxa"/>
                </w:tcPr>
                <w:p w14:paraId="2F13FEDF" w14:textId="77777777" w:rsidR="00CD2AF5" w:rsidRPr="004E0F33" w:rsidRDefault="00CD2AF5" w:rsidP="00CD2AF5">
                  <w:pPr>
                    <w:spacing w:before="80" w:after="107"/>
                    <w:rPr>
                      <w:rFonts w:eastAsia="Times New Roman" w:cs="Arial"/>
                      <w:szCs w:val="20"/>
                    </w:rPr>
                  </w:pPr>
                </w:p>
              </w:tc>
              <w:tc>
                <w:tcPr>
                  <w:tcW w:w="5310" w:type="dxa"/>
                  <w:vAlign w:val="center"/>
                </w:tcPr>
                <w:p w14:paraId="2D2576C5" w14:textId="298F30AC" w:rsidR="00CD2AF5" w:rsidRPr="004E0F33" w:rsidRDefault="00CD2AF5" w:rsidP="00CD2AF5">
                  <w:pPr>
                    <w:spacing w:before="80" w:after="107"/>
                    <w:rPr>
                      <w:rFonts w:eastAsia="Times New Roman" w:cs="Arial"/>
                      <w:szCs w:val="20"/>
                    </w:rPr>
                  </w:pPr>
                  <w:r>
                    <w:rPr>
                      <w:rFonts w:eastAsia="Times New Roman" w:cs="Arial"/>
                      <w:szCs w:val="20"/>
                    </w:rPr>
                    <w:t>AGGREGATE</w:t>
                  </w:r>
                  <w:r w:rsidR="00EC35AF">
                    <w:rPr>
                      <w:rFonts w:eastAsia="Times New Roman" w:cs="Arial"/>
                      <w:szCs w:val="20"/>
                    </w:rPr>
                    <w:t xml:space="preserve"> </w:t>
                  </w:r>
                  <w:r w:rsidRPr="004E0F33">
                    <w:rPr>
                      <w:rFonts w:eastAsia="Times New Roman" w:cs="Arial"/>
                      <w:szCs w:val="20"/>
                    </w:rPr>
                    <w:t>AMOUNT OF INSURANCE</w:t>
                  </w:r>
                </w:p>
              </w:tc>
            </w:tr>
            <w:tr w:rsidR="00CD2AF5" w:rsidRPr="004E0F33" w14:paraId="6674CFE5" w14:textId="77777777" w:rsidTr="00CD2AF5">
              <w:tc>
                <w:tcPr>
                  <w:tcW w:w="420" w:type="dxa"/>
                </w:tcPr>
                <w:p w14:paraId="422D4B84" w14:textId="77777777" w:rsidR="00CD2AF5" w:rsidRPr="004E0F33" w:rsidRDefault="00CD2AF5" w:rsidP="00CD2AF5">
                  <w:pPr>
                    <w:spacing w:before="80" w:after="107"/>
                    <w:rPr>
                      <w:rFonts w:eastAsia="Times New Roman" w:cs="Arial"/>
                      <w:szCs w:val="20"/>
                      <w:u w:val="single"/>
                    </w:rPr>
                  </w:pPr>
                </w:p>
              </w:tc>
              <w:tc>
                <w:tcPr>
                  <w:tcW w:w="2940" w:type="dxa"/>
                  <w:tcBorders>
                    <w:bottom w:val="single" w:sz="4" w:space="0" w:color="auto"/>
                  </w:tcBorders>
                  <w:vAlign w:val="center"/>
                </w:tcPr>
                <w:p w14:paraId="5EB6E9C8" w14:textId="77777777" w:rsidR="00CD2AF5" w:rsidRPr="004E0F33" w:rsidRDefault="00CD2AF5" w:rsidP="00CD2AF5">
                  <w:pPr>
                    <w:spacing w:before="80" w:after="107"/>
                    <w:rPr>
                      <w:rFonts w:eastAsia="Times New Roman" w:cs="Arial"/>
                      <w:szCs w:val="20"/>
                    </w:rPr>
                  </w:pPr>
                </w:p>
              </w:tc>
              <w:tc>
                <w:tcPr>
                  <w:tcW w:w="420" w:type="dxa"/>
                </w:tcPr>
                <w:p w14:paraId="2A338DE7" w14:textId="77777777" w:rsidR="00CD2AF5" w:rsidRPr="004E0F33" w:rsidRDefault="00CD2AF5" w:rsidP="00CD2AF5">
                  <w:pPr>
                    <w:spacing w:before="80" w:after="107"/>
                    <w:rPr>
                      <w:rFonts w:eastAsia="Times New Roman" w:cs="Arial"/>
                      <w:szCs w:val="20"/>
                    </w:rPr>
                  </w:pPr>
                </w:p>
              </w:tc>
              <w:tc>
                <w:tcPr>
                  <w:tcW w:w="5310" w:type="dxa"/>
                  <w:tcBorders>
                    <w:bottom w:val="single" w:sz="4" w:space="0" w:color="auto"/>
                  </w:tcBorders>
                  <w:vAlign w:val="center"/>
                </w:tcPr>
                <w:p w14:paraId="16D78E25" w14:textId="77777777" w:rsidR="00CD2AF5" w:rsidRPr="004E0F33" w:rsidRDefault="00CD2AF5" w:rsidP="00CD2AF5">
                  <w:pPr>
                    <w:spacing w:before="80" w:after="107"/>
                    <w:rPr>
                      <w:rFonts w:eastAsia="Times New Roman" w:cs="Arial"/>
                      <w:szCs w:val="20"/>
                    </w:rPr>
                  </w:pPr>
                  <w:r w:rsidRPr="004E0F33">
                    <w:rPr>
                      <w:rFonts w:eastAsia="Times New Roman" w:cs="Arial"/>
                      <w:szCs w:val="20"/>
                    </w:rPr>
                    <w:t xml:space="preserve">$ </w:t>
                  </w:r>
                </w:p>
              </w:tc>
            </w:tr>
            <w:tr w:rsidR="00CD2AF5" w:rsidRPr="004E0F33" w14:paraId="45E378D9" w14:textId="77777777" w:rsidTr="00CD2AF5">
              <w:tc>
                <w:tcPr>
                  <w:tcW w:w="420" w:type="dxa"/>
                </w:tcPr>
                <w:p w14:paraId="1EA881B7" w14:textId="77777777" w:rsidR="00CD2AF5" w:rsidRPr="004E0F33" w:rsidRDefault="00CD2AF5" w:rsidP="00CD2AF5">
                  <w:pPr>
                    <w:spacing w:before="80" w:after="107"/>
                    <w:rPr>
                      <w:rFonts w:eastAsia="Times New Roman" w:cs="Arial"/>
                      <w:szCs w:val="20"/>
                      <w:u w:val="single"/>
                    </w:rPr>
                  </w:pPr>
                </w:p>
              </w:tc>
              <w:tc>
                <w:tcPr>
                  <w:tcW w:w="2940" w:type="dxa"/>
                  <w:tcBorders>
                    <w:top w:val="single" w:sz="4" w:space="0" w:color="auto"/>
                    <w:bottom w:val="single" w:sz="4" w:space="0" w:color="auto"/>
                  </w:tcBorders>
                  <w:vAlign w:val="center"/>
                </w:tcPr>
                <w:p w14:paraId="4184FE9B" w14:textId="77777777" w:rsidR="00CD2AF5" w:rsidRPr="004E0F33" w:rsidRDefault="00CD2AF5" w:rsidP="00CD2AF5">
                  <w:pPr>
                    <w:spacing w:before="80" w:after="107"/>
                    <w:rPr>
                      <w:rFonts w:eastAsia="Times New Roman" w:cs="Arial"/>
                      <w:szCs w:val="20"/>
                    </w:rPr>
                  </w:pPr>
                </w:p>
              </w:tc>
              <w:tc>
                <w:tcPr>
                  <w:tcW w:w="420" w:type="dxa"/>
                </w:tcPr>
                <w:p w14:paraId="262851D5" w14:textId="77777777" w:rsidR="00CD2AF5" w:rsidRPr="004E0F33" w:rsidRDefault="00CD2AF5" w:rsidP="00CD2AF5">
                  <w:pPr>
                    <w:spacing w:before="80" w:after="107"/>
                    <w:rPr>
                      <w:rFonts w:eastAsia="Times New Roman" w:cs="Arial"/>
                      <w:szCs w:val="20"/>
                    </w:rPr>
                  </w:pPr>
                </w:p>
              </w:tc>
              <w:tc>
                <w:tcPr>
                  <w:tcW w:w="5310" w:type="dxa"/>
                  <w:tcBorders>
                    <w:top w:val="single" w:sz="4" w:space="0" w:color="auto"/>
                    <w:bottom w:val="single" w:sz="4" w:space="0" w:color="auto"/>
                  </w:tcBorders>
                  <w:vAlign w:val="center"/>
                </w:tcPr>
                <w:p w14:paraId="73D823D4" w14:textId="77777777" w:rsidR="00CD2AF5" w:rsidRPr="004E0F33" w:rsidRDefault="00CD2AF5" w:rsidP="00CD2AF5">
                  <w:pPr>
                    <w:spacing w:before="80" w:after="107"/>
                    <w:rPr>
                      <w:rFonts w:eastAsia="Times New Roman" w:cs="Arial"/>
                      <w:szCs w:val="20"/>
                    </w:rPr>
                  </w:pPr>
                  <w:r w:rsidRPr="004E0F33">
                    <w:rPr>
                      <w:rFonts w:eastAsia="Times New Roman" w:cs="Arial"/>
                      <w:szCs w:val="20"/>
                    </w:rPr>
                    <w:t xml:space="preserve">$ </w:t>
                  </w:r>
                </w:p>
              </w:tc>
            </w:tr>
          </w:tbl>
          <w:p w14:paraId="789E282A" w14:textId="77777777" w:rsidR="00CD2AF5" w:rsidRDefault="00CD2AF5" w:rsidP="00CD2AF5">
            <w:pPr>
              <w:spacing w:after="107"/>
              <w:jc w:val="both"/>
            </w:pPr>
          </w:p>
          <w:p w14:paraId="6B9F578C" w14:textId="1621F22E" w:rsidR="00CD2AF5" w:rsidRDefault="00CD2AF5" w:rsidP="002244E9">
            <w:pPr>
              <w:pStyle w:val="ListParagraph"/>
              <w:numPr>
                <w:ilvl w:val="0"/>
                <w:numId w:val="1"/>
              </w:numPr>
              <w:spacing w:after="87"/>
              <w:contextualSpacing w:val="0"/>
              <w:jc w:val="both"/>
            </w:pPr>
            <w:r>
              <w:t>Condition 7.a. is restated in its entirety to read:</w:t>
            </w:r>
          </w:p>
          <w:p w14:paraId="5AEE84C0" w14:textId="77777777" w:rsidR="00CD2AF5" w:rsidRDefault="00CD2AF5" w:rsidP="002244E9">
            <w:pPr>
              <w:spacing w:after="87"/>
              <w:ind w:left="360"/>
              <w:jc w:val="both"/>
            </w:pPr>
            <w:r>
              <w:t>7.</w:t>
            </w:r>
            <w:r>
              <w:tab/>
              <w:t>OPTIONS TO PAY OR OTHERWISE SETTLE CLAIMS; TERMINATION OF LIABILITY</w:t>
            </w:r>
          </w:p>
          <w:p w14:paraId="0B67B35D" w14:textId="77777777" w:rsidR="00CD2AF5" w:rsidRDefault="00CD2AF5" w:rsidP="002244E9">
            <w:pPr>
              <w:spacing w:after="87"/>
              <w:ind w:left="720"/>
              <w:jc w:val="both"/>
            </w:pPr>
            <w:r>
              <w:t>In case of a claim under this policy, the Company has the following additional options:</w:t>
            </w:r>
          </w:p>
          <w:p w14:paraId="2458A2B2" w14:textId="59889A0B" w:rsidR="00CD2AF5" w:rsidRDefault="00CD2AF5" w:rsidP="002244E9">
            <w:pPr>
              <w:pStyle w:val="ListParagraph"/>
              <w:numPr>
                <w:ilvl w:val="1"/>
                <w:numId w:val="1"/>
              </w:numPr>
              <w:spacing w:after="87"/>
              <w:ind w:left="1080"/>
              <w:contextualSpacing w:val="0"/>
              <w:jc w:val="both"/>
            </w:pPr>
            <w:r>
              <w:t>To Pay or Tender Payment of up to the Aggregate Amount of Insurance or to Purchase the Indebtedness</w:t>
            </w:r>
          </w:p>
          <w:p w14:paraId="77664B12" w14:textId="37AE6811" w:rsidR="00CD2AF5" w:rsidRDefault="00CD2AF5" w:rsidP="002244E9">
            <w:pPr>
              <w:pStyle w:val="ListParagraph"/>
              <w:numPr>
                <w:ilvl w:val="2"/>
                <w:numId w:val="1"/>
              </w:numPr>
              <w:spacing w:after="87"/>
              <w:ind w:left="1440"/>
              <w:contextualSpacing w:val="0"/>
              <w:jc w:val="both"/>
            </w:pPr>
            <w:r>
              <w:t>To pay or tender payment of the lesser of the value of the Title as insured at the date the claim was made by the Insured Claimant, or the Aggregate Amount of Insurance applicable under this policy. In addition, the Company will pay any costs, attorneys’ fees, and expenses incurred by the Insured Claimant that were authorized by the Company up to the time of payment or tender of payment and that the Company is</w:t>
            </w:r>
            <w:r w:rsidR="009C6B54">
              <w:t> </w:t>
            </w:r>
            <w:r>
              <w:t>obligated to pay; or</w:t>
            </w:r>
          </w:p>
          <w:p w14:paraId="2A5AEB86" w14:textId="4908BD94" w:rsidR="00CD2AF5" w:rsidRDefault="00CD2AF5" w:rsidP="002244E9">
            <w:pPr>
              <w:pStyle w:val="ListParagraph"/>
              <w:numPr>
                <w:ilvl w:val="2"/>
                <w:numId w:val="1"/>
              </w:numPr>
              <w:spacing w:after="87"/>
              <w:ind w:left="1440"/>
              <w:contextualSpacing w:val="0"/>
              <w:jc w:val="both"/>
            </w:pPr>
            <w:r>
              <w:t>To purchase the Indebtedness for the amount of the Indebtedness on the date of purchase. In addition, the</w:t>
            </w:r>
            <w:r w:rsidR="009C6B54">
              <w:t> </w:t>
            </w:r>
            <w:r>
              <w:t>Company will pay any costs, attorneys’ fees, and expenses incurred by the Insured Claimant that were authorized by the Company up to the time of purchase and that the Company is obligated to pay.</w:t>
            </w:r>
          </w:p>
          <w:p w14:paraId="7D0A426D" w14:textId="761F5511" w:rsidR="00CD2AF5" w:rsidRPr="00EC35AF" w:rsidRDefault="00CD2AF5" w:rsidP="00EC35AF">
            <w:pPr>
              <w:spacing w:after="127"/>
              <w:ind w:left="1440"/>
              <w:jc w:val="both"/>
              <w:rPr>
                <w:spacing w:val="-6"/>
              </w:rPr>
            </w:pPr>
            <w:r w:rsidRPr="00EC35AF">
              <w:rPr>
                <w:spacing w:val="-6"/>
              </w:rPr>
              <w:lastRenderedPageBreak/>
              <w:t>If the Company purchases the Indebtedness, the Insured must transfer, assign, and convey to the Company the</w:t>
            </w:r>
            <w:r w:rsidR="009C6B54">
              <w:rPr>
                <w:spacing w:val="-6"/>
              </w:rPr>
              <w:t> </w:t>
            </w:r>
            <w:r w:rsidRPr="00EC35AF">
              <w:rPr>
                <w:spacing w:val="-6"/>
              </w:rPr>
              <w:t>Indebtedness and the Insured Mortgage, together with any collateral security.</w:t>
            </w:r>
          </w:p>
          <w:p w14:paraId="0DA34C22" w14:textId="77777777" w:rsidR="00CD2AF5" w:rsidRPr="002244E9" w:rsidRDefault="00CD2AF5" w:rsidP="00EC35AF">
            <w:pPr>
              <w:spacing w:after="127"/>
              <w:ind w:left="720"/>
              <w:jc w:val="both"/>
              <w:rPr>
                <w:spacing w:val="-3"/>
              </w:rPr>
            </w:pPr>
            <w:r w:rsidRPr="002244E9">
              <w:rPr>
                <w:spacing w:val="-3"/>
              </w:rPr>
              <w:t>Upon the exercise by the Company of either option provided for in Condition 7.a., the Company’s liability and obligations to the Insured under this policy terminate, including any obligation to defend, prosecute, or continue any litigation.</w:t>
            </w:r>
          </w:p>
          <w:p w14:paraId="0C7708EF" w14:textId="5F48400D" w:rsidR="00CD2AF5" w:rsidRDefault="00CD2AF5" w:rsidP="00EC35AF">
            <w:pPr>
              <w:pStyle w:val="ListParagraph"/>
              <w:numPr>
                <w:ilvl w:val="0"/>
                <w:numId w:val="1"/>
              </w:numPr>
              <w:spacing w:after="127"/>
              <w:contextualSpacing w:val="0"/>
              <w:jc w:val="both"/>
            </w:pPr>
            <w:r>
              <w:t xml:space="preserve">Condition 8 is restated in its entirety to read: </w:t>
            </w:r>
          </w:p>
          <w:p w14:paraId="4D9E6C73" w14:textId="77777777" w:rsidR="00CD2AF5" w:rsidRDefault="00CD2AF5" w:rsidP="00EC35AF">
            <w:pPr>
              <w:spacing w:after="127"/>
              <w:ind w:left="360"/>
              <w:jc w:val="both"/>
            </w:pPr>
            <w:r>
              <w:t xml:space="preserve">8. </w:t>
            </w:r>
            <w:r>
              <w:tab/>
              <w:t>CONTRACT OF INDEMNITY; DETERMINATION AND EXTENT OF LIABILITY</w:t>
            </w:r>
          </w:p>
          <w:p w14:paraId="51B35763" w14:textId="77777777" w:rsidR="00CD2AF5" w:rsidRDefault="00CD2AF5" w:rsidP="00EC35AF">
            <w:pPr>
              <w:spacing w:after="127"/>
              <w:ind w:left="720"/>
              <w:jc w:val="both"/>
            </w:pPr>
            <w:r>
              <w:t xml:space="preserve">This policy is a contract of indemnity against actual monetary loss or damage sustained or incurred by an Insured Claimant who has suffered loss or damage by reason of matters insured against by this policy. 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  </w:t>
            </w:r>
          </w:p>
          <w:p w14:paraId="682C421C" w14:textId="702F2AEF" w:rsidR="00CD2AF5" w:rsidRDefault="00CD2AF5" w:rsidP="00EC35AF">
            <w:pPr>
              <w:pStyle w:val="ListParagraph"/>
              <w:numPr>
                <w:ilvl w:val="1"/>
                <w:numId w:val="1"/>
              </w:numPr>
              <w:spacing w:after="127"/>
              <w:ind w:left="1080"/>
              <w:contextualSpacing w:val="0"/>
              <w:jc w:val="both"/>
            </w:pPr>
            <w:r>
              <w:t xml:space="preserve">The extent of liability of the Company for loss or damage under this policy does not exceed the least of:  </w:t>
            </w:r>
          </w:p>
          <w:p w14:paraId="04F12183" w14:textId="335AA287" w:rsidR="00CD2AF5" w:rsidRDefault="00CD2AF5" w:rsidP="00EC35AF">
            <w:pPr>
              <w:pStyle w:val="ListParagraph"/>
              <w:numPr>
                <w:ilvl w:val="2"/>
                <w:numId w:val="1"/>
              </w:numPr>
              <w:spacing w:after="127"/>
              <w:ind w:left="1440"/>
              <w:contextualSpacing w:val="0"/>
              <w:jc w:val="both"/>
            </w:pPr>
            <w:r>
              <w:t>the Aggregate Amount of Insurance for the State where the Land is located;</w:t>
            </w:r>
          </w:p>
          <w:p w14:paraId="319F634D" w14:textId="714F9336" w:rsidR="00CD2AF5" w:rsidRDefault="00CD2AF5" w:rsidP="00EC35AF">
            <w:pPr>
              <w:pStyle w:val="ListParagraph"/>
              <w:numPr>
                <w:ilvl w:val="2"/>
                <w:numId w:val="1"/>
              </w:numPr>
              <w:spacing w:after="127"/>
              <w:ind w:left="1440"/>
              <w:contextualSpacing w:val="0"/>
              <w:jc w:val="both"/>
            </w:pPr>
            <w:r>
              <w:t>the Indebtedness;</w:t>
            </w:r>
          </w:p>
          <w:p w14:paraId="4AB14A1A" w14:textId="7AC85B30" w:rsidR="00CD2AF5" w:rsidRDefault="00CD2AF5" w:rsidP="00EC35AF">
            <w:pPr>
              <w:pStyle w:val="ListParagraph"/>
              <w:numPr>
                <w:ilvl w:val="2"/>
                <w:numId w:val="1"/>
              </w:numPr>
              <w:spacing w:after="127"/>
              <w:ind w:left="1440"/>
              <w:contextualSpacing w:val="0"/>
              <w:jc w:val="both"/>
            </w:pPr>
            <w:r>
              <w:t xml:space="preserve">the difference between the fair market value of the Title, as insured, and the fair market value of the Title subject to the matter insured against by this policy; or  </w:t>
            </w:r>
          </w:p>
          <w:p w14:paraId="0E74AC14" w14:textId="39EBFE8B" w:rsidR="00CD2AF5" w:rsidRDefault="00CD2AF5" w:rsidP="00EC35AF">
            <w:pPr>
              <w:pStyle w:val="ListParagraph"/>
              <w:numPr>
                <w:ilvl w:val="2"/>
                <w:numId w:val="1"/>
              </w:numPr>
              <w:spacing w:after="127"/>
              <w:ind w:left="1440"/>
              <w:contextualSpacing w:val="0"/>
              <w:jc w:val="both"/>
            </w:pPr>
            <w:r>
              <w:t>if a Government Mortgage Agency or Instrumentality is the Insured Claimant, the amount it paid in</w:t>
            </w:r>
            <w:r w:rsidR="009C6B54">
              <w:t> </w:t>
            </w:r>
            <w:r>
              <w:t>the</w:t>
            </w:r>
            <w:r w:rsidR="009C6B54">
              <w:t> </w:t>
            </w:r>
            <w:r>
              <w:t xml:space="preserve">acquisition of the Title or the Insured Mortgage or in satisfaction of its insurance contract or guaranty relating to the Title or the Insured Mortgage.  </w:t>
            </w:r>
          </w:p>
          <w:p w14:paraId="2CFA2C92" w14:textId="72EFEE10" w:rsidR="00CD2AF5" w:rsidRDefault="00CD2AF5" w:rsidP="00EC35AF">
            <w:pPr>
              <w:pStyle w:val="ListParagraph"/>
              <w:numPr>
                <w:ilvl w:val="1"/>
                <w:numId w:val="1"/>
              </w:numPr>
              <w:spacing w:after="127"/>
              <w:ind w:left="1080"/>
              <w:contextualSpacing w:val="0"/>
              <w:jc w:val="both"/>
            </w:pPr>
            <w:r>
              <w:t xml:space="preserve">Fair market value of the Title in Condition 8.a.iii. is calculated using either: </w:t>
            </w:r>
          </w:p>
          <w:p w14:paraId="148CA473" w14:textId="44BA00CD" w:rsidR="00CD2AF5" w:rsidRPr="009C6B54" w:rsidRDefault="00CD2AF5" w:rsidP="00EC35AF">
            <w:pPr>
              <w:pStyle w:val="ListParagraph"/>
              <w:numPr>
                <w:ilvl w:val="2"/>
                <w:numId w:val="1"/>
              </w:numPr>
              <w:spacing w:after="127"/>
              <w:ind w:left="1440"/>
              <w:contextualSpacing w:val="0"/>
              <w:jc w:val="both"/>
            </w:pPr>
            <w:r w:rsidRPr="009C6B54">
              <w:t>the date the Insured acquires the Title as a result of a foreclosure or deed in lieu of foreclosure of</w:t>
            </w:r>
            <w:r w:rsidR="009C6B54" w:rsidRPr="009C6B54">
              <w:t xml:space="preserve"> </w:t>
            </w:r>
            <w:r w:rsidRPr="009C6B54">
              <w:t>the</w:t>
            </w:r>
            <w:r w:rsidR="009C6B54" w:rsidRPr="009C6B54">
              <w:t xml:space="preserve"> </w:t>
            </w:r>
            <w:r w:rsidRPr="009C6B54">
              <w:t>Insured</w:t>
            </w:r>
            <w:r w:rsidR="009C6B54" w:rsidRPr="009C6B54">
              <w:t xml:space="preserve"> </w:t>
            </w:r>
            <w:r w:rsidRPr="009C6B54">
              <w:t>Mortgage; or</w:t>
            </w:r>
          </w:p>
          <w:p w14:paraId="728D8739" w14:textId="3F39BA7D" w:rsidR="00CD2AF5" w:rsidRDefault="00CD2AF5" w:rsidP="00EC35AF">
            <w:pPr>
              <w:pStyle w:val="ListParagraph"/>
              <w:numPr>
                <w:ilvl w:val="2"/>
                <w:numId w:val="1"/>
              </w:numPr>
              <w:spacing w:after="127"/>
              <w:ind w:left="1440"/>
              <w:contextualSpacing w:val="0"/>
              <w:jc w:val="both"/>
            </w:pPr>
            <w:r>
              <w:t>the date the lien of the Insured Mortgage or any assignment set forth in Item 4 of Schedule A is extinguished or rendered unenforceable by reason of a matter insured against by this policy.</w:t>
            </w:r>
          </w:p>
          <w:p w14:paraId="3A897F6E" w14:textId="00183BD3" w:rsidR="00CD2AF5" w:rsidRDefault="00CD2AF5" w:rsidP="00EC35AF">
            <w:pPr>
              <w:pStyle w:val="ListParagraph"/>
              <w:numPr>
                <w:ilvl w:val="1"/>
                <w:numId w:val="1"/>
              </w:numPr>
              <w:spacing w:after="127"/>
              <w:ind w:left="1080"/>
              <w:contextualSpacing w:val="0"/>
              <w:jc w:val="both"/>
            </w:pPr>
            <w:r>
              <w:t>If the Company pursues its rights under Condition 5.b. and is unsuccessful in establishing the Title or the lien of the Insured Mortgage, as insured, the Insured Claimant 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14:paraId="47EA8430" w14:textId="5B7A16B8" w:rsidR="00CD2AF5" w:rsidRDefault="00CD2AF5" w:rsidP="00EC35AF">
            <w:pPr>
              <w:pStyle w:val="ListParagraph"/>
              <w:numPr>
                <w:ilvl w:val="1"/>
                <w:numId w:val="1"/>
              </w:numPr>
              <w:spacing w:after="127"/>
              <w:ind w:left="1080"/>
              <w:contextualSpacing w:val="0"/>
              <w:jc w:val="both"/>
            </w:pPr>
            <w:r>
              <w:t>In addition to the extent of liability for loss or damage under Conditions 8.a. and 8.c., the Company will also pay the costs, attorneys’ fees, and expenses incurred in accordance with Conditions 5 and 7.</w:t>
            </w:r>
          </w:p>
          <w:p w14:paraId="03DE9E37" w14:textId="13B3BD70" w:rsidR="00CD2AF5" w:rsidRDefault="00CD2AF5" w:rsidP="00EC35AF">
            <w:pPr>
              <w:pStyle w:val="ListParagraph"/>
              <w:numPr>
                <w:ilvl w:val="0"/>
                <w:numId w:val="1"/>
              </w:numPr>
              <w:spacing w:after="127"/>
              <w:contextualSpacing w:val="0"/>
              <w:jc w:val="both"/>
            </w:pPr>
            <w:r>
              <w:t>Condition 10 is restated in its entirety to read:</w:t>
            </w:r>
          </w:p>
          <w:p w14:paraId="0E685E6E" w14:textId="68DBE54B" w:rsidR="00CD2AF5" w:rsidRDefault="00CD2AF5" w:rsidP="00EC35AF">
            <w:pPr>
              <w:spacing w:after="127"/>
              <w:ind w:left="360"/>
              <w:jc w:val="both"/>
            </w:pPr>
            <w:r>
              <w:t>10</w:t>
            </w:r>
            <w:r w:rsidR="002244E9">
              <w:t xml:space="preserve"> </w:t>
            </w:r>
            <w:r>
              <w:t xml:space="preserve"> </w:t>
            </w:r>
            <w:r>
              <w:tab/>
              <w:t>REDUCTION OR TERMINATION OF INSURANCE</w:t>
            </w:r>
          </w:p>
          <w:p w14:paraId="54FB4926" w14:textId="391E9EAF" w:rsidR="00CD2AF5" w:rsidRPr="00EC35AF" w:rsidRDefault="00CD2AF5" w:rsidP="00EC35AF">
            <w:pPr>
              <w:pStyle w:val="ListParagraph"/>
              <w:numPr>
                <w:ilvl w:val="1"/>
                <w:numId w:val="1"/>
              </w:numPr>
              <w:spacing w:after="127"/>
              <w:ind w:left="1080"/>
              <w:contextualSpacing w:val="0"/>
              <w:jc w:val="both"/>
              <w:rPr>
                <w:spacing w:val="-3"/>
              </w:rPr>
            </w:pPr>
            <w:r w:rsidRPr="00EC35AF">
              <w:rPr>
                <w:spacing w:val="-3"/>
              </w:rPr>
              <w:t>All payments under this policy, except payments made for costs, attorneys’ fees, and expenses, reduce the</w:t>
            </w:r>
            <w:r w:rsidR="009C6B54">
              <w:rPr>
                <w:spacing w:val="-3"/>
              </w:rPr>
              <w:t> </w:t>
            </w:r>
            <w:r w:rsidRPr="00EC35AF">
              <w:rPr>
                <w:spacing w:val="-3"/>
              </w:rPr>
              <w:t>applicable Aggregate Amount of Insurance by the amount of the payment. However, any payment made by the</w:t>
            </w:r>
            <w:r w:rsidR="00EC35AF" w:rsidRPr="00EC35AF">
              <w:rPr>
                <w:spacing w:val="-3"/>
              </w:rPr>
              <w:t> </w:t>
            </w:r>
            <w:r w:rsidRPr="00EC35AF">
              <w:rPr>
                <w:spacing w:val="-3"/>
              </w:rPr>
              <w:t>Company prior to the acquisition of the Title as provided in Condition 2 does not reduce the Aggregate Amount of Insurance afforded under this endorsement, except to the extent that the payment reduces the Indebtedness.</w:t>
            </w:r>
          </w:p>
          <w:p w14:paraId="47321092" w14:textId="37DDEAC9" w:rsidR="00CD2AF5" w:rsidRDefault="00CD2AF5" w:rsidP="00DC1034">
            <w:pPr>
              <w:pStyle w:val="ListParagraph"/>
              <w:keepNext/>
              <w:keepLines/>
              <w:numPr>
                <w:ilvl w:val="1"/>
                <w:numId w:val="1"/>
              </w:numPr>
              <w:spacing w:after="127"/>
              <w:ind w:left="1080"/>
              <w:contextualSpacing w:val="0"/>
              <w:jc w:val="both"/>
            </w:pPr>
            <w:r>
              <w:lastRenderedPageBreak/>
              <w:t xml:space="preserve">If this policy insures the Title to Land located in a state identified in Section 3.b. of this endorsement: </w:t>
            </w:r>
          </w:p>
          <w:p w14:paraId="66B27BBE" w14:textId="1A692DD7" w:rsidR="00CD2AF5" w:rsidRDefault="00CD2AF5" w:rsidP="00DC1034">
            <w:pPr>
              <w:pStyle w:val="ListParagraph"/>
              <w:keepNext/>
              <w:keepLines/>
              <w:numPr>
                <w:ilvl w:val="2"/>
                <w:numId w:val="1"/>
              </w:numPr>
              <w:spacing w:after="127"/>
              <w:ind w:left="1440"/>
              <w:contextualSpacing w:val="0"/>
              <w:jc w:val="both"/>
            </w:pPr>
            <w:r>
              <w:t>all payments under this policy, except payments made for costs, attorneys’ fees, and expenses, reduce the</w:t>
            </w:r>
            <w:r w:rsidR="009C6B54">
              <w:t> </w:t>
            </w:r>
            <w:r>
              <w:t>Aggregate Amount of Insurance by the amount of the payment; but</w:t>
            </w:r>
          </w:p>
          <w:p w14:paraId="68420588" w14:textId="7392FC96" w:rsidR="00CD2AF5" w:rsidRDefault="00CD2AF5" w:rsidP="00DC1034">
            <w:pPr>
              <w:pStyle w:val="ListParagraph"/>
              <w:keepNext/>
              <w:keepLines/>
              <w:numPr>
                <w:ilvl w:val="2"/>
                <w:numId w:val="1"/>
              </w:numPr>
              <w:spacing w:after="127"/>
              <w:ind w:left="1440"/>
              <w:contextualSpacing w:val="0"/>
              <w:jc w:val="both"/>
            </w:pPr>
            <w:r>
              <w:t>a payment made for loss or damage on Land insured in one of the policies identified in Section 1 on Land located outside this state does not reduce the Aggregate Amount of Insurance in Section 3.b. of this endorsement until the Aggregate Amount of Insurance in Section 3.a. is reduced below the Aggregate Amount of Insurance in Section 3.b.</w:t>
            </w:r>
          </w:p>
          <w:p w14:paraId="47DB269F" w14:textId="0CE4DDE6" w:rsidR="00CD2AF5" w:rsidRDefault="00CD2AF5" w:rsidP="002244E9">
            <w:pPr>
              <w:pStyle w:val="ListParagraph"/>
              <w:numPr>
                <w:ilvl w:val="1"/>
                <w:numId w:val="1"/>
              </w:numPr>
              <w:spacing w:after="107"/>
              <w:ind w:left="1080"/>
              <w:contextualSpacing w:val="0"/>
              <w:jc w:val="both"/>
            </w:pPr>
            <w:r>
              <w:t>When the Title is acquired by the Insured as a result of foreclosure or deed in lieu of foreclosure, the amount credited against the Indebtedness does not reduce the Aggregate Amount of Insurance.</w:t>
            </w:r>
          </w:p>
          <w:p w14:paraId="3D657109" w14:textId="2AD2CB82" w:rsidR="00CD2AF5" w:rsidRDefault="00CD2AF5" w:rsidP="002244E9">
            <w:pPr>
              <w:pStyle w:val="ListParagraph"/>
              <w:numPr>
                <w:ilvl w:val="1"/>
                <w:numId w:val="1"/>
              </w:numPr>
              <w:spacing w:after="107"/>
              <w:ind w:left="1080"/>
              <w:contextualSpacing w:val="0"/>
              <w:jc w:val="both"/>
            </w:pPr>
            <w:r>
              <w:t>The voluntary satisfaction or release of the Insured Mortgage terminates all liability of the Company under this</w:t>
            </w:r>
            <w:r w:rsidR="009C6B54">
              <w:t> </w:t>
            </w:r>
            <w:r>
              <w:t>policy, except as provided in Condition 2, but it will not reduce the Aggregate Amount of Insurance for the</w:t>
            </w:r>
            <w:r w:rsidR="009C6B54">
              <w:t> </w:t>
            </w:r>
            <w:r>
              <w:t xml:space="preserve">other policies identified in Section 1 of this endorsement. </w:t>
            </w:r>
          </w:p>
          <w:p w14:paraId="0212938D" w14:textId="6567CC64" w:rsidR="00D83F8E" w:rsidRPr="002244E9" w:rsidRDefault="009C6B54" w:rsidP="002244E9">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1CFFC681" w14:textId="1B2777EE" w:rsidR="00D83F8E" w:rsidRPr="00526051" w:rsidRDefault="00D83F8E" w:rsidP="00BE7718">
            <w:pPr>
              <w:spacing w:after="107"/>
            </w:pPr>
            <w:r>
              <w:t>Date:</w:t>
            </w:r>
            <w:r w:rsidR="00812A4E">
              <w:t xml:space="preserve"> </w:t>
            </w:r>
            <w:r w:rsidR="002244E9">
              <w:rPr>
                <w:rFonts w:cs="Arial"/>
                <w:bCs/>
              </w:rPr>
              <w:t>__________.</w:t>
            </w:r>
          </w:p>
        </w:tc>
      </w:tr>
      <w:tr w:rsidR="00952204" w:rsidRPr="00526051" w14:paraId="148E3F59" w14:textId="77777777" w:rsidTr="00DC1034">
        <w:trPr>
          <w:gridAfter w:val="1"/>
          <w:wAfter w:w="10" w:type="dxa"/>
          <w:trHeight w:val="4320"/>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78775B" w:rsidRDefault="006009DB" w:rsidP="006009DB">
                  <w:pPr>
                    <w:spacing w:before="40" w:after="40"/>
                    <w:jc w:val="center"/>
                    <w:rPr>
                      <w:b/>
                      <w:bCs/>
                      <w:szCs w:val="20"/>
                    </w:rPr>
                  </w:pPr>
                  <w:r w:rsidRPr="0078775B">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1CC0F" w14:textId="77777777" w:rsidR="00400C48" w:rsidRDefault="00400C48" w:rsidP="00C9577B">
      <w:pPr>
        <w:spacing w:after="0" w:line="240" w:lineRule="auto"/>
      </w:pPr>
      <w:r>
        <w:separator/>
      </w:r>
    </w:p>
  </w:endnote>
  <w:endnote w:type="continuationSeparator" w:id="0">
    <w:p w14:paraId="59954AB8" w14:textId="77777777" w:rsidR="00400C48" w:rsidRDefault="00400C48"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B083AF7" w:rsidR="00C9577B" w:rsidRPr="00C9577B" w:rsidRDefault="00551672" w:rsidP="0026686E">
    <w:pPr>
      <w:pBdr>
        <w:bottom w:val="single" w:sz="12" w:space="1" w:color="auto"/>
      </w:pBdr>
      <w:tabs>
        <w:tab w:val="right" w:pos="10800"/>
      </w:tabs>
      <w:spacing w:after="0" w:line="240" w:lineRule="auto"/>
      <w:rPr>
        <w:bCs/>
        <w:sz w:val="16"/>
      </w:rPr>
    </w:pPr>
    <w:bookmarkStart w:id="0" w:name="_Hlk66458034"/>
    <w:bookmarkStart w:id="1" w:name="_Hlk66458035"/>
    <w:r w:rsidRPr="00551672">
      <w:rPr>
        <w:bCs/>
        <w:sz w:val="16"/>
      </w:rPr>
      <w:t>ALTA 12.1 Aggr. – State Limits – Loan Policy 2021 v. 01.01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7F19C9">
      <w:rPr>
        <w:bCs/>
        <w:sz w:val="16"/>
      </w:rPr>
      <w:t xml:space="preserve">2112 </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C3E85" w14:textId="77777777" w:rsidR="00400C48" w:rsidRDefault="00400C48" w:rsidP="00C9577B">
      <w:pPr>
        <w:spacing w:after="0" w:line="240" w:lineRule="auto"/>
      </w:pPr>
      <w:r>
        <w:separator/>
      </w:r>
    </w:p>
  </w:footnote>
  <w:footnote w:type="continuationSeparator" w:id="0">
    <w:p w14:paraId="278EDEA6" w14:textId="77777777" w:rsidR="00400C48" w:rsidRDefault="00400C48"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7D587" w14:textId="57EC182D" w:rsidR="007F19C9"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7F19C9" w:rsidRPr="007F19C9">
      <w:rPr>
        <w:rFonts w:eastAsia="Times New Roman" w:cs="Arial"/>
        <w:b/>
        <w:sz w:val="16"/>
        <w:szCs w:val="16"/>
      </w:rPr>
      <w:t>ALTA 12.1 Aggregation – State Limits –</w:t>
    </w:r>
  </w:p>
  <w:p w14:paraId="37D6261F" w14:textId="1A6EFD4B" w:rsidR="00A6128A" w:rsidRPr="00A6128A" w:rsidRDefault="007F19C9" w:rsidP="007F19C9">
    <w:pPr>
      <w:widowControl w:val="0"/>
      <w:tabs>
        <w:tab w:val="right" w:pos="10800"/>
      </w:tabs>
      <w:spacing w:after="0" w:line="240" w:lineRule="auto"/>
      <w:jc w:val="right"/>
      <w:rPr>
        <w:rFonts w:eastAsia="Times New Roman" w:cs="Arial"/>
        <w:b/>
        <w:sz w:val="16"/>
        <w:szCs w:val="16"/>
      </w:rPr>
    </w:pPr>
    <w:r w:rsidRPr="007F19C9">
      <w:rPr>
        <w:rFonts w:eastAsia="Times New Roman" w:cs="Arial"/>
        <w:b/>
        <w:sz w:val="16"/>
        <w:szCs w:val="16"/>
      </w:rPr>
      <w:t>Loan Policy 2021 v. 01.01 (7-1-21)</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31A69"/>
    <w:multiLevelType w:val="hybridMultilevel"/>
    <w:tmpl w:val="F3603F04"/>
    <w:lvl w:ilvl="0" w:tplc="EFFACC8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2"/>
  </w:num>
  <w:num w:numId="2" w16cid:durableId="1493794450">
    <w:abstractNumId w:val="1"/>
  </w:num>
  <w:num w:numId="3" w16cid:durableId="1542664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C3114"/>
    <w:rsid w:val="00120530"/>
    <w:rsid w:val="00191AB6"/>
    <w:rsid w:val="001C30F4"/>
    <w:rsid w:val="00217C92"/>
    <w:rsid w:val="002244E9"/>
    <w:rsid w:val="00226416"/>
    <w:rsid w:val="00243D0F"/>
    <w:rsid w:val="0026686E"/>
    <w:rsid w:val="00266E85"/>
    <w:rsid w:val="002B757B"/>
    <w:rsid w:val="003250A0"/>
    <w:rsid w:val="003351D9"/>
    <w:rsid w:val="003869C2"/>
    <w:rsid w:val="003B4831"/>
    <w:rsid w:val="003E4AF6"/>
    <w:rsid w:val="00400C48"/>
    <w:rsid w:val="00465615"/>
    <w:rsid w:val="004B0C49"/>
    <w:rsid w:val="004C5A29"/>
    <w:rsid w:val="00500352"/>
    <w:rsid w:val="005253E6"/>
    <w:rsid w:val="00526051"/>
    <w:rsid w:val="00551672"/>
    <w:rsid w:val="00553D33"/>
    <w:rsid w:val="00562B14"/>
    <w:rsid w:val="00584C5C"/>
    <w:rsid w:val="006009DB"/>
    <w:rsid w:val="0061747F"/>
    <w:rsid w:val="006E7E44"/>
    <w:rsid w:val="00713D8C"/>
    <w:rsid w:val="00715B4A"/>
    <w:rsid w:val="00725789"/>
    <w:rsid w:val="0078775B"/>
    <w:rsid w:val="007A17AB"/>
    <w:rsid w:val="007D47C0"/>
    <w:rsid w:val="007D547B"/>
    <w:rsid w:val="007F19C9"/>
    <w:rsid w:val="007F2F28"/>
    <w:rsid w:val="007F42DC"/>
    <w:rsid w:val="00800B0E"/>
    <w:rsid w:val="00812A4E"/>
    <w:rsid w:val="00860A97"/>
    <w:rsid w:val="008A75D5"/>
    <w:rsid w:val="008C20C4"/>
    <w:rsid w:val="008F65AF"/>
    <w:rsid w:val="00905401"/>
    <w:rsid w:val="00944ACC"/>
    <w:rsid w:val="00952204"/>
    <w:rsid w:val="009C6B54"/>
    <w:rsid w:val="009D13E6"/>
    <w:rsid w:val="00A6128A"/>
    <w:rsid w:val="00A92930"/>
    <w:rsid w:val="00AE52EB"/>
    <w:rsid w:val="00B01BEB"/>
    <w:rsid w:val="00B0791B"/>
    <w:rsid w:val="00B11B42"/>
    <w:rsid w:val="00B15C5A"/>
    <w:rsid w:val="00B177A2"/>
    <w:rsid w:val="00B40F18"/>
    <w:rsid w:val="00B92C91"/>
    <w:rsid w:val="00BA3499"/>
    <w:rsid w:val="00BB044C"/>
    <w:rsid w:val="00C11C25"/>
    <w:rsid w:val="00C21334"/>
    <w:rsid w:val="00C21D73"/>
    <w:rsid w:val="00C310DF"/>
    <w:rsid w:val="00C47EC0"/>
    <w:rsid w:val="00C9577B"/>
    <w:rsid w:val="00CC19FC"/>
    <w:rsid w:val="00CD2AF5"/>
    <w:rsid w:val="00CE5949"/>
    <w:rsid w:val="00D04C5E"/>
    <w:rsid w:val="00D426B2"/>
    <w:rsid w:val="00D83F8E"/>
    <w:rsid w:val="00DB0B80"/>
    <w:rsid w:val="00DC1034"/>
    <w:rsid w:val="00DC55FC"/>
    <w:rsid w:val="00E0523E"/>
    <w:rsid w:val="00E47346"/>
    <w:rsid w:val="00E714B0"/>
    <w:rsid w:val="00EB6165"/>
    <w:rsid w:val="00EC35AF"/>
    <w:rsid w:val="00EF0CE8"/>
    <w:rsid w:val="00F40EA6"/>
    <w:rsid w:val="00FF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3698">
      <w:bodyDiv w:val="1"/>
      <w:marLeft w:val="0"/>
      <w:marRight w:val="0"/>
      <w:marTop w:val="0"/>
      <w:marBottom w:val="0"/>
      <w:divBdr>
        <w:top w:val="none" w:sz="0" w:space="0" w:color="auto"/>
        <w:left w:val="none" w:sz="0" w:space="0" w:color="auto"/>
        <w:bottom w:val="none" w:sz="0" w:space="0" w:color="auto"/>
        <w:right w:val="none" w:sz="0" w:space="0" w:color="auto"/>
      </w:divBdr>
    </w:div>
    <w:div w:id="310712991">
      <w:bodyDiv w:val="1"/>
      <w:marLeft w:val="0"/>
      <w:marRight w:val="0"/>
      <w:marTop w:val="0"/>
      <w:marBottom w:val="0"/>
      <w:divBdr>
        <w:top w:val="none" w:sz="0" w:space="0" w:color="auto"/>
        <w:left w:val="none" w:sz="0" w:space="0" w:color="auto"/>
        <w:bottom w:val="none" w:sz="0" w:space="0" w:color="auto"/>
        <w:right w:val="none" w:sz="0" w:space="0" w:color="auto"/>
      </w:divBdr>
    </w:div>
    <w:div w:id="873227076">
      <w:bodyDiv w:val="1"/>
      <w:marLeft w:val="0"/>
      <w:marRight w:val="0"/>
      <w:marTop w:val="0"/>
      <w:marBottom w:val="0"/>
      <w:divBdr>
        <w:top w:val="none" w:sz="0" w:space="0" w:color="auto"/>
        <w:left w:val="none" w:sz="0" w:space="0" w:color="auto"/>
        <w:bottom w:val="none" w:sz="0" w:space="0" w:color="auto"/>
        <w:right w:val="none" w:sz="0" w:space="0" w:color="auto"/>
      </w:divBdr>
    </w:div>
    <w:div w:id="19322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227AD3"/>
    <w:rsid w:val="0028554E"/>
    <w:rsid w:val="003C3431"/>
    <w:rsid w:val="004C7A79"/>
    <w:rsid w:val="005336C4"/>
    <w:rsid w:val="00562068"/>
    <w:rsid w:val="005E4DD6"/>
    <w:rsid w:val="006B4705"/>
    <w:rsid w:val="007371B9"/>
    <w:rsid w:val="007479C6"/>
    <w:rsid w:val="007A17AB"/>
    <w:rsid w:val="007F42DC"/>
    <w:rsid w:val="007F7EA4"/>
    <w:rsid w:val="00805FCA"/>
    <w:rsid w:val="008D540A"/>
    <w:rsid w:val="008D7DC8"/>
    <w:rsid w:val="008E7EE5"/>
    <w:rsid w:val="009A4907"/>
    <w:rsid w:val="00A14FA7"/>
    <w:rsid w:val="00A70EBA"/>
    <w:rsid w:val="00B15C5A"/>
    <w:rsid w:val="00C2417C"/>
    <w:rsid w:val="00C310DF"/>
    <w:rsid w:val="00C76F36"/>
    <w:rsid w:val="00C860CB"/>
    <w:rsid w:val="00D040D0"/>
    <w:rsid w:val="00D20F41"/>
    <w:rsid w:val="00DA5C50"/>
    <w:rsid w:val="00DE56C8"/>
    <w:rsid w:val="00E41867"/>
    <w:rsid w:val="00EB18B3"/>
    <w:rsid w:val="00FA3440"/>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2024-08-29T14:38:00Z</dcterms:modified>
</cp:coreProperties>
</file>