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43E8682" w:rsidR="00A6128A" w:rsidRPr="004532EA" w:rsidRDefault="009375A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174F57F">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46DBCCE9" w14:textId="0F82C670" w:rsidR="00CF6CAF" w:rsidRDefault="00CF6CAF" w:rsidP="00CF6CAF">
            <w:pPr>
              <w:pStyle w:val="ListParagraph"/>
              <w:numPr>
                <w:ilvl w:val="0"/>
                <w:numId w:val="1"/>
              </w:numPr>
              <w:spacing w:after="87"/>
              <w:contextualSpacing w:val="0"/>
              <w:jc w:val="both"/>
            </w:pPr>
            <w:r>
              <w:t>The insurance provided by this endorsement is subject to the exclusions in Section 4 of this endorsement; and</w:t>
            </w:r>
            <w:r w:rsidR="00497C55">
              <w:t> </w:t>
            </w:r>
            <w:r>
              <w:t>the</w:t>
            </w:r>
            <w:r w:rsidR="00497C55">
              <w:t> </w:t>
            </w:r>
            <w:r>
              <w:t>Exclusions from Coverage, the Exceptions from Coverage contained in Schedule B, and the Conditions in</w:t>
            </w:r>
            <w:r w:rsidR="00BC2B1B">
              <w:t> </w:t>
            </w:r>
            <w:r>
              <w:t>the</w:t>
            </w:r>
            <w:r w:rsidR="00497C55">
              <w:t> </w:t>
            </w:r>
            <w:r>
              <w:t xml:space="preserve">policy. </w:t>
            </w:r>
          </w:p>
          <w:p w14:paraId="2F9E1CC3" w14:textId="5380E7E8" w:rsidR="00CF6CAF" w:rsidRDefault="00CF6CAF" w:rsidP="00CF6CAF">
            <w:pPr>
              <w:pStyle w:val="ListParagraph"/>
              <w:numPr>
                <w:ilvl w:val="0"/>
                <w:numId w:val="1"/>
              </w:numPr>
              <w:spacing w:after="87"/>
              <w:contextualSpacing w:val="0"/>
              <w:jc w:val="both"/>
            </w:pPr>
            <w:r>
              <w:t>For the purposes of this endorsement only:</w:t>
            </w:r>
          </w:p>
          <w:p w14:paraId="5FC233E3" w14:textId="57E6AB77" w:rsidR="00CF6CAF" w:rsidRDefault="00CF6CAF" w:rsidP="00CF6CAF">
            <w:pPr>
              <w:pStyle w:val="ListParagraph"/>
              <w:numPr>
                <w:ilvl w:val="1"/>
                <w:numId w:val="1"/>
              </w:numPr>
              <w:spacing w:after="87"/>
              <w:contextualSpacing w:val="0"/>
              <w:jc w:val="both"/>
            </w:pPr>
            <w:r>
              <w:t>“Covenant” means a covenant, condition, limitation or restriction in a document or instrument recorded in</w:t>
            </w:r>
            <w:r w:rsidR="00BC2B1B">
              <w:t> </w:t>
            </w:r>
            <w:r>
              <w:t>the</w:t>
            </w:r>
            <w:r w:rsidR="00497C55">
              <w:t> </w:t>
            </w:r>
            <w:r>
              <w:t>Public Records at Date of Policy.</w:t>
            </w:r>
          </w:p>
          <w:p w14:paraId="384D7D82" w14:textId="77067A77" w:rsidR="00CF6CAF" w:rsidRDefault="00CF6CAF" w:rsidP="00CF6CAF">
            <w:pPr>
              <w:pStyle w:val="ListParagraph"/>
              <w:numPr>
                <w:ilvl w:val="1"/>
                <w:numId w:val="1"/>
              </w:numPr>
              <w:spacing w:after="87"/>
              <w:contextualSpacing w:val="0"/>
              <w:jc w:val="both"/>
            </w:pPr>
            <w:r>
              <w:t>“Private Right” means (</w:t>
            </w:r>
            <w:proofErr w:type="spellStart"/>
            <w:r>
              <w:t>i</w:t>
            </w:r>
            <w:proofErr w:type="spellEnd"/>
            <w:r>
              <w:t>) an option to purchase; (ii) a right of first refusal; or (iii) a right of prior approval of</w:t>
            </w:r>
            <w:r w:rsidR="00BC2B1B">
              <w:t> </w:t>
            </w:r>
            <w:r>
              <w:t>a</w:t>
            </w:r>
            <w:r w:rsidR="00BC2B1B">
              <w:t> </w:t>
            </w:r>
            <w:r>
              <w:t>future purchaser or occupant.</w:t>
            </w:r>
          </w:p>
          <w:p w14:paraId="6C6D47CC" w14:textId="5FF1696E" w:rsidR="00CF6CAF" w:rsidRDefault="00CF6CAF" w:rsidP="00CF6CAF">
            <w:pPr>
              <w:pStyle w:val="ListParagraph"/>
              <w:numPr>
                <w:ilvl w:val="0"/>
                <w:numId w:val="1"/>
              </w:numPr>
              <w:spacing w:after="87"/>
              <w:contextualSpacing w:val="0"/>
              <w:jc w:val="both"/>
            </w:pPr>
            <w:r>
              <w:t>The Company insures against loss or damage sustained by the Insured under this Owner’s Policy if enforcement of</w:t>
            </w:r>
            <w:r w:rsidR="00BC2B1B">
              <w:t> </w:t>
            </w:r>
            <w:r>
              <w:t>a</w:t>
            </w:r>
            <w:r w:rsidR="00BC2B1B">
              <w:t> </w:t>
            </w:r>
            <w:r>
              <w:t>Private Right in a Covenant affecting the Title at Date of Policy based on a transfer of Title on or before Date</w:t>
            </w:r>
            <w:r w:rsidR="00BC2B1B">
              <w:t> </w:t>
            </w:r>
            <w:r>
              <w:t>of</w:t>
            </w:r>
            <w:r w:rsidR="00BC2B1B">
              <w:t> </w:t>
            </w:r>
            <w:r>
              <w:t xml:space="preserve">Policy causes a loss of the Insured’s Title.  </w:t>
            </w:r>
          </w:p>
          <w:p w14:paraId="38F621A4" w14:textId="38E03559" w:rsidR="00CF6CAF" w:rsidRDefault="00CF6CAF" w:rsidP="00CF6CAF">
            <w:pPr>
              <w:pStyle w:val="ListParagraph"/>
              <w:numPr>
                <w:ilvl w:val="0"/>
                <w:numId w:val="1"/>
              </w:numPr>
              <w:spacing w:after="87"/>
              <w:contextualSpacing w:val="0"/>
              <w:jc w:val="both"/>
            </w:pPr>
            <w:r>
              <w:t>This endorsement does not insure against loss or damage (and the Company will not pay costs, attorneys' fees, or</w:t>
            </w:r>
            <w:r w:rsidR="00BC2B1B">
              <w:t> </w:t>
            </w:r>
            <w:r>
              <w:t>expenses) resulting from:</w:t>
            </w:r>
          </w:p>
          <w:p w14:paraId="557550DE" w14:textId="58E1C55D" w:rsidR="00CF6CAF" w:rsidRDefault="00CF6CAF" w:rsidP="00CF6CAF">
            <w:pPr>
              <w:pStyle w:val="ListParagraph"/>
              <w:numPr>
                <w:ilvl w:val="1"/>
                <w:numId w:val="1"/>
              </w:numPr>
              <w:spacing w:after="87"/>
              <w:contextualSpacing w:val="0"/>
              <w:jc w:val="both"/>
            </w:pPr>
            <w:r>
              <w:t>any Covenant contained in an instrument creating a lease;</w:t>
            </w:r>
          </w:p>
          <w:p w14:paraId="10AC28A5" w14:textId="44612F2B" w:rsidR="00CF6CAF" w:rsidRDefault="00CF6CAF" w:rsidP="00CF6CAF">
            <w:pPr>
              <w:pStyle w:val="ListParagraph"/>
              <w:numPr>
                <w:ilvl w:val="1"/>
                <w:numId w:val="1"/>
              </w:numPr>
              <w:spacing w:after="87"/>
              <w:contextualSpacing w:val="0"/>
              <w:jc w:val="both"/>
            </w:pPr>
            <w:r>
              <w:t>any Covenant relating to obligations of any type to perform maintenance, repair, or remediation on the Land;</w:t>
            </w:r>
          </w:p>
          <w:p w14:paraId="37A00D2C" w14:textId="2A1525C4" w:rsidR="00CF6CAF" w:rsidRDefault="00CF6CAF" w:rsidP="00CF6CAF">
            <w:pPr>
              <w:pStyle w:val="ListParagraph"/>
              <w:numPr>
                <w:ilvl w:val="1"/>
                <w:numId w:val="1"/>
              </w:numPr>
              <w:spacing w:after="87"/>
              <w:contextualSpacing w:val="0"/>
              <w:jc w:val="both"/>
            </w:pPr>
            <w:r>
              <w:t>any Covenant relating to environmental protection of any kind or nature, including hazardous or toxic matters, conditions, or substances; or</w:t>
            </w:r>
          </w:p>
          <w:p w14:paraId="1226128D" w14:textId="1F6A1D62" w:rsidR="00CF6CAF" w:rsidRDefault="00CF6CAF" w:rsidP="00CF6CAF">
            <w:pPr>
              <w:pStyle w:val="ListParagraph"/>
              <w:numPr>
                <w:ilvl w:val="1"/>
                <w:numId w:val="1"/>
              </w:numPr>
              <w:spacing w:after="87"/>
              <w:contextualSpacing w:val="0"/>
              <w:jc w:val="both"/>
            </w:pPr>
            <w:r>
              <w:t>any Private Right in an instrument identified in Exception(s) __________ in Schedule B.</w:t>
            </w:r>
          </w:p>
          <w:p w14:paraId="1CFFC681" w14:textId="67BC60B7" w:rsidR="00D83F8E" w:rsidRPr="00CF6CAF" w:rsidRDefault="00642201" w:rsidP="00CF6CAF">
            <w:pPr>
              <w:spacing w:after="87"/>
              <w:jc w:val="both"/>
              <w:rPr>
                <w:spacing w:val="-3"/>
              </w:rPr>
            </w:pPr>
            <w:r w:rsidRPr="009C31FA">
              <w:rPr>
                <w:spacing w:val="-4"/>
              </w:rPr>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497C55">
        <w:trPr>
          <w:gridAfter w:val="1"/>
          <w:wAfter w:w="10" w:type="dxa"/>
          <w:trHeight w:val="432"/>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3CC1" w14:textId="77777777" w:rsidR="007F1432" w:rsidRDefault="007F1432" w:rsidP="00C9577B">
      <w:pPr>
        <w:spacing w:after="0" w:line="240" w:lineRule="auto"/>
      </w:pPr>
      <w:r>
        <w:separator/>
      </w:r>
    </w:p>
  </w:endnote>
  <w:endnote w:type="continuationSeparator" w:id="0">
    <w:p w14:paraId="0E16839B" w14:textId="77777777" w:rsidR="007F1432" w:rsidRDefault="007F1432"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751F7E5" w:rsidR="00C9577B" w:rsidRPr="00C9577B" w:rsidRDefault="00BC2B1B" w:rsidP="0026686E">
    <w:pPr>
      <w:pBdr>
        <w:bottom w:val="single" w:sz="12" w:space="1" w:color="auto"/>
      </w:pBdr>
      <w:tabs>
        <w:tab w:val="right" w:pos="10800"/>
      </w:tabs>
      <w:spacing w:after="0" w:line="240" w:lineRule="auto"/>
      <w:rPr>
        <w:bCs/>
        <w:sz w:val="16"/>
      </w:rPr>
    </w:pPr>
    <w:bookmarkStart w:id="0" w:name="_Hlk66458034"/>
    <w:bookmarkStart w:id="1" w:name="_Hlk66458035"/>
    <w:r w:rsidRPr="00BC2B1B">
      <w:rPr>
        <w:bCs/>
        <w:sz w:val="16"/>
      </w:rPr>
      <w:t>ALTA 9.9-06 Private Rights – Owner’s Policy (4-2-13)</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CF6CAF">
      <w:rPr>
        <w:bCs/>
        <w:sz w:val="16"/>
      </w:rPr>
      <w:t>1207</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AEA1017"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CF6CAF">
      <w:rPr>
        <w:rFonts w:cs="Arial"/>
        <w:b/>
        <w:sz w:val="16"/>
        <w:szCs w:val="16"/>
      </w:rPr>
      <w:t>2013</w:t>
    </w:r>
    <w:r w:rsidRPr="00C47491">
      <w:rPr>
        <w:rFonts w:cs="Arial"/>
        <w:b/>
        <w:sz w:val="16"/>
        <w:szCs w:val="16"/>
      </w:rPr>
      <w:t xml:space="preserve"> American Land Title Association. All rights reserved.</w:t>
    </w:r>
  </w:p>
  <w:bookmarkEnd w:id="0"/>
  <w:bookmarkEnd w:id="1"/>
  <w:p w14:paraId="35CFB925" w14:textId="77777777" w:rsidR="00CF6CAF" w:rsidRPr="00CF6CAF" w:rsidRDefault="00CF6CAF" w:rsidP="00CF6CAF">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CF6CAF">
      <w:rPr>
        <w:rFonts w:eastAsia="Times New Roman" w:cs="Arial"/>
        <w:sz w:val="16"/>
        <w:szCs w:val="16"/>
        <w:lang w:val="x-none" w:eastAsia="x-none"/>
      </w:rPr>
      <w:t xml:space="preserve">The use of this Form is restricted to ALTA licensees and ALTA members </w:t>
    </w:r>
  </w:p>
  <w:p w14:paraId="7CFE80A7" w14:textId="77777777" w:rsidR="00CF6CAF" w:rsidRPr="00CF6CAF" w:rsidRDefault="00CF6CAF" w:rsidP="00CF6CAF">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CF6CAF">
      <w:rPr>
        <w:rFonts w:eastAsia="Times New Roman" w:cs="Arial"/>
        <w:sz w:val="16"/>
        <w:szCs w:val="16"/>
        <w:lang w:val="x-none" w:eastAsia="x-none"/>
      </w:rPr>
      <w:t xml:space="preserve">in good standing as of the date of use.  All other uses are prohibited.  </w:t>
    </w:r>
  </w:p>
  <w:p w14:paraId="21B950C3" w14:textId="4A9A7A0F" w:rsidR="00C9577B" w:rsidRPr="00C47491" w:rsidRDefault="00CF6CAF" w:rsidP="00CF6CAF">
    <w:pPr>
      <w:spacing w:after="0" w:line="240" w:lineRule="auto"/>
      <w:jc w:val="both"/>
      <w:rPr>
        <w:rFonts w:cs="Arial"/>
        <w:bCs/>
        <w:sz w:val="16"/>
        <w:szCs w:val="16"/>
      </w:rPr>
    </w:pPr>
    <w:r w:rsidRPr="00CF6CAF">
      <w:rPr>
        <w:rFonts w:eastAsia="Calibri"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FBC8" w14:textId="77777777" w:rsidR="007F1432" w:rsidRDefault="007F1432" w:rsidP="00C9577B">
      <w:pPr>
        <w:spacing w:after="0" w:line="240" w:lineRule="auto"/>
      </w:pPr>
      <w:r>
        <w:separator/>
      </w:r>
    </w:p>
  </w:footnote>
  <w:footnote w:type="continuationSeparator" w:id="0">
    <w:p w14:paraId="31E37720" w14:textId="77777777" w:rsidR="007F1432" w:rsidRDefault="007F1432"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CF496C1"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50001F" w:rsidRPr="0050001F">
      <w:rPr>
        <w:rFonts w:eastAsia="Times New Roman" w:cs="Arial"/>
        <w:b/>
        <w:sz w:val="16"/>
        <w:szCs w:val="16"/>
      </w:rPr>
      <w:t>ALTA 9.9-06 Private Rights – Owner’s Policy (4-2-13)</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A1499"/>
    <w:rsid w:val="001A5941"/>
    <w:rsid w:val="001C30F4"/>
    <w:rsid w:val="00214229"/>
    <w:rsid w:val="00217C92"/>
    <w:rsid w:val="00226416"/>
    <w:rsid w:val="0026686E"/>
    <w:rsid w:val="00266E85"/>
    <w:rsid w:val="002B757B"/>
    <w:rsid w:val="003250A0"/>
    <w:rsid w:val="003351D9"/>
    <w:rsid w:val="003E4AF6"/>
    <w:rsid w:val="00465615"/>
    <w:rsid w:val="00497C55"/>
    <w:rsid w:val="004B0C49"/>
    <w:rsid w:val="004C5A29"/>
    <w:rsid w:val="0050001F"/>
    <w:rsid w:val="00500352"/>
    <w:rsid w:val="00501957"/>
    <w:rsid w:val="005205A4"/>
    <w:rsid w:val="005253E6"/>
    <w:rsid w:val="00526051"/>
    <w:rsid w:val="00553D33"/>
    <w:rsid w:val="00560363"/>
    <w:rsid w:val="00562B14"/>
    <w:rsid w:val="00584C5C"/>
    <w:rsid w:val="006009DB"/>
    <w:rsid w:val="0061747F"/>
    <w:rsid w:val="00642201"/>
    <w:rsid w:val="006929A3"/>
    <w:rsid w:val="006E7E44"/>
    <w:rsid w:val="00713D8C"/>
    <w:rsid w:val="00715B4A"/>
    <w:rsid w:val="00725789"/>
    <w:rsid w:val="00763912"/>
    <w:rsid w:val="007A17AB"/>
    <w:rsid w:val="007D547B"/>
    <w:rsid w:val="007F1432"/>
    <w:rsid w:val="007F2F28"/>
    <w:rsid w:val="00800B0E"/>
    <w:rsid w:val="00812A4E"/>
    <w:rsid w:val="00860A97"/>
    <w:rsid w:val="008C20C4"/>
    <w:rsid w:val="008F65AF"/>
    <w:rsid w:val="00905401"/>
    <w:rsid w:val="009360C0"/>
    <w:rsid w:val="009375A4"/>
    <w:rsid w:val="00944ACC"/>
    <w:rsid w:val="00952204"/>
    <w:rsid w:val="009A070E"/>
    <w:rsid w:val="009B6E77"/>
    <w:rsid w:val="009D13E6"/>
    <w:rsid w:val="00A6128A"/>
    <w:rsid w:val="00A92930"/>
    <w:rsid w:val="00AE52EB"/>
    <w:rsid w:val="00B01BEB"/>
    <w:rsid w:val="00B0791B"/>
    <w:rsid w:val="00B11B42"/>
    <w:rsid w:val="00B15C5A"/>
    <w:rsid w:val="00B177A2"/>
    <w:rsid w:val="00B417F5"/>
    <w:rsid w:val="00B804D0"/>
    <w:rsid w:val="00B92C91"/>
    <w:rsid w:val="00BA3499"/>
    <w:rsid w:val="00BB044C"/>
    <w:rsid w:val="00BC2B1B"/>
    <w:rsid w:val="00C11C25"/>
    <w:rsid w:val="00C21334"/>
    <w:rsid w:val="00C21D73"/>
    <w:rsid w:val="00C47EC0"/>
    <w:rsid w:val="00C9577B"/>
    <w:rsid w:val="00CE5949"/>
    <w:rsid w:val="00CF6CAF"/>
    <w:rsid w:val="00D04C5E"/>
    <w:rsid w:val="00D137C4"/>
    <w:rsid w:val="00D426B2"/>
    <w:rsid w:val="00D83F8E"/>
    <w:rsid w:val="00DB0B80"/>
    <w:rsid w:val="00DF4E06"/>
    <w:rsid w:val="00E47346"/>
    <w:rsid w:val="00EF0CE8"/>
    <w:rsid w:val="00F40EA6"/>
    <w:rsid w:val="00F572EA"/>
    <w:rsid w:val="00F9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02E40"/>
    <w:rsid w:val="00054D3C"/>
    <w:rsid w:val="0009646E"/>
    <w:rsid w:val="000B66F6"/>
    <w:rsid w:val="000E046B"/>
    <w:rsid w:val="000F5036"/>
    <w:rsid w:val="001043B6"/>
    <w:rsid w:val="001A1499"/>
    <w:rsid w:val="00227AD3"/>
    <w:rsid w:val="0028554E"/>
    <w:rsid w:val="003D48F6"/>
    <w:rsid w:val="00472F88"/>
    <w:rsid w:val="004C7A79"/>
    <w:rsid w:val="00562068"/>
    <w:rsid w:val="005E4DD6"/>
    <w:rsid w:val="006B4705"/>
    <w:rsid w:val="007371B9"/>
    <w:rsid w:val="007A17AB"/>
    <w:rsid w:val="007F7EA4"/>
    <w:rsid w:val="00805FCA"/>
    <w:rsid w:val="008D540A"/>
    <w:rsid w:val="008D7DC8"/>
    <w:rsid w:val="008E7EE5"/>
    <w:rsid w:val="009360C0"/>
    <w:rsid w:val="009A4907"/>
    <w:rsid w:val="00A14FA7"/>
    <w:rsid w:val="00B15C5A"/>
    <w:rsid w:val="00B76A15"/>
    <w:rsid w:val="00B80A4B"/>
    <w:rsid w:val="00C2417C"/>
    <w:rsid w:val="00C860CB"/>
    <w:rsid w:val="00D040D0"/>
    <w:rsid w:val="00D20F41"/>
    <w:rsid w:val="00DA5C50"/>
    <w:rsid w:val="00DE56C8"/>
    <w:rsid w:val="00E41867"/>
    <w:rsid w:val="00EB18B3"/>
    <w:rsid w:val="00F8101F"/>
    <w:rsid w:val="00F91F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2024-08-29T13:16:00Z</dcterms:modified>
</cp:coreProperties>
</file>